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2F" w:rsidRPr="00561B4A" w:rsidRDefault="008E3D98">
      <w:pPr>
        <w:rPr>
          <w:rFonts w:ascii="Times New Roman" w:hAnsi="Times New Roman" w:cs="Times New Roman"/>
          <w:b/>
          <w:bCs/>
        </w:rPr>
      </w:pPr>
      <w:r w:rsidRPr="00561B4A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924E2A" wp14:editId="248481B9">
                <wp:simplePos x="0" y="0"/>
                <wp:positionH relativeFrom="margin">
                  <wp:posOffset>782320</wp:posOffset>
                </wp:positionH>
                <wp:positionV relativeFrom="paragraph">
                  <wp:posOffset>928370</wp:posOffset>
                </wp:positionV>
                <wp:extent cx="3277870" cy="1404620"/>
                <wp:effectExtent l="0" t="0" r="17780" b="22860"/>
                <wp:wrapTight wrapText="bothSides">
                  <wp:wrapPolygon edited="0">
                    <wp:start x="0" y="0"/>
                    <wp:lineTo x="0" y="21721"/>
                    <wp:lineTo x="21592" y="21721"/>
                    <wp:lineTo x="21592" y="0"/>
                    <wp:lineTo x="0" y="0"/>
                  </wp:wrapPolygon>
                </wp:wrapTight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B2F" w:rsidRPr="00510B2F" w:rsidRDefault="00510B2F" w:rsidP="00510B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0B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:rsidR="00510B2F" w:rsidRPr="00510B2F" w:rsidRDefault="00510B2F" w:rsidP="00510B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0B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Ministarstvo mora, prometa i infrastrukture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924E2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1.6pt;margin-top:73.1pt;width:258.1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">
                <v:textbox style="mso-fit-shape-to-text:t">
                  <w:txbxContent>
                    <w:p w:rsidR="00510B2F" w:rsidRPr="00510B2F" w:rsidRDefault="00510B2F" w:rsidP="00510B2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10B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REPUBLIKA HRVATSKA</w:t>
                      </w:r>
                    </w:p>
                    <w:p w:rsidR="00510B2F" w:rsidRPr="00510B2F" w:rsidRDefault="00510B2F" w:rsidP="00510B2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10B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Ministarstvo mora, prometa i infrastrukture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61B4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41A3CF14" wp14:editId="7B637FB0">
            <wp:simplePos x="0" y="0"/>
            <wp:positionH relativeFrom="margin">
              <wp:posOffset>2245576</wp:posOffset>
            </wp:positionH>
            <wp:positionV relativeFrom="paragraph">
              <wp:posOffset>0</wp:posOffset>
            </wp:positionV>
            <wp:extent cx="548640" cy="715645"/>
            <wp:effectExtent l="0" t="0" r="3810" b="8255"/>
            <wp:wrapTight wrapText="bothSides">
              <wp:wrapPolygon edited="0">
                <wp:start x="0" y="0"/>
                <wp:lineTo x="0" y="21274"/>
                <wp:lineTo x="21000" y="21274"/>
                <wp:lineTo x="2100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1B4A">
        <w:rPr>
          <w:rFonts w:ascii="Times New Roman" w:eastAsia="Calibri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FBFC5" wp14:editId="476F2373">
                <wp:simplePos x="0" y="0"/>
                <wp:positionH relativeFrom="margin">
                  <wp:align>left</wp:align>
                </wp:positionH>
                <wp:positionV relativeFrom="margin">
                  <wp:posOffset>4242</wp:posOffset>
                </wp:positionV>
                <wp:extent cx="6507805" cy="7062281"/>
                <wp:effectExtent l="0" t="0" r="7620" b="5715"/>
                <wp:wrapNone/>
                <wp:docPr id="138" name="Tekstni okvi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805" cy="706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B2F" w:rsidRDefault="00510B2F" w:rsidP="00510B2F"/>
                          <w:tbl>
                            <w:tblPr>
                              <w:tblW w:w="4977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23"/>
                              <w:gridCol w:w="2668"/>
                            </w:tblGrid>
                            <w:tr w:rsidR="00C705E9" w:rsidTr="00574C2D">
                              <w:trPr>
                                <w:jc w:val="center"/>
                              </w:trPr>
                              <w:tc>
                                <w:tcPr>
                                  <w:tcW w:w="3691" w:type="pct"/>
                                  <w:vAlign w:val="center"/>
                                </w:tcPr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705E9" w:rsidRDefault="00C705E9" w:rsidP="00C705E9">
                                  <w:pPr>
                                    <w:pStyle w:val="Bezproreda"/>
                                    <w:spacing w:line="312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705E9" w:rsidRDefault="009D258E" w:rsidP="00574C2D">
                                  <w:pPr>
                                    <w:pStyle w:val="Bezproreda"/>
                                    <w:spacing w:line="312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60.25pt;height:202.5pt">
                                        <v:imagedata r:id="rId9" o:title="20220811_003147"/>
                                      </v:shape>
                                    </w:pict>
                                  </w:r>
                                </w:p>
                                <w:p w:rsidR="00C705E9" w:rsidRDefault="00C705E9" w:rsidP="00510B2F">
                                  <w:pPr>
                                    <w:pStyle w:val="Bezproreda"/>
                                    <w:spacing w:line="312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8E3D98" w:rsidRDefault="008E3D98" w:rsidP="008E3D98">
                                  <w:pPr>
                                    <w:pStyle w:val="Bezproreda"/>
                                    <w:spacing w:line="312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         </w:t>
                                  </w:r>
                                  <w:r w:rsidR="00C705E9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lot-projekt povoljnijega javnog </w:t>
                                  </w:r>
                                </w:p>
                                <w:p w:rsidR="00C705E9" w:rsidRDefault="008E3D98" w:rsidP="008E3D98">
                                  <w:pPr>
                                    <w:pStyle w:val="Bezproreda"/>
                                    <w:spacing w:line="312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         </w:t>
                                  </w:r>
                                  <w:r w:rsidR="00C705E9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željezničkog prijevoza studenata</w:t>
                                  </w:r>
                                </w:p>
                                <w:sdt>
                                  <w:sdtPr>
                                    <w:rPr>
                                      <w:color w:val="000000" w:themeColor="text1"/>
                                      <w:sz w:val="24"/>
                                    </w:rPr>
                                    <w:alias w:val="Podnaslov"/>
                                    <w:tag w:val=""/>
                                    <w:id w:val="135407256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705E9" w:rsidRDefault="00C705E9" w:rsidP="000134FB">
                                      <w:pPr>
                                        <w:jc w:val="right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309" w:type="pct"/>
                                </w:tcPr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Default="00C705E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</w:p>
                                <w:p w:rsidR="00C705E9" w:rsidRPr="008E3D98" w:rsidRDefault="00C705E9" w:rsidP="00574C2D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8E3D98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U cilju demografske revitalizacije, poboljšanja životnog standarda</w:t>
                                  </w:r>
                                  <w:r w:rsidR="008E3D98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studenata i njihovih obitelji te</w:t>
                                  </w:r>
                                  <w:r w:rsidRPr="008E3D98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poticanja korištenja željezničkog prijevoza</w:t>
                                  </w:r>
                                  <w:r w:rsidR="000715F3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kao ekološki najprihvatljivijeg oblika prijevoza</w:t>
                                  </w:r>
                                </w:p>
                              </w:tc>
                            </w:tr>
                          </w:tbl>
                          <w:p w:rsidR="00510B2F" w:rsidRPr="009F38A3" w:rsidRDefault="00510B2F" w:rsidP="00510B2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FBFC5" id="_x0000_t202" coordsize="21600,21600" o:spt="202" path="m,l,21600r21600,l21600,xe">
                <v:stroke joinstyle="miter"/>
                <v:path gradientshapeok="t" o:connecttype="rect"/>
              </v:shapetype>
              <v:shape id="Tekstni okvir 138" o:spid="_x0000_s1027" type="#_x0000_t202" style="position:absolute;margin-left:0;margin-top:.35pt;width:512.45pt;height:556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" fillcolor="white [3201]" stroked="f" strokeweight=".5pt">
                <v:textbox inset="0,0,0,0">
                  <w:txbxContent>
                    <w:p w:rsidR="00510B2F" w:rsidRDefault="00510B2F" w:rsidP="00510B2F"/>
                    <w:tbl>
                      <w:tblPr>
                        <w:tblW w:w="4977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23"/>
                        <w:gridCol w:w="2668"/>
                      </w:tblGrid>
                      <w:tr w:rsidR="00C705E9" w:rsidTr="00574C2D">
                        <w:trPr>
                          <w:jc w:val="center"/>
                        </w:trPr>
                        <w:tc>
                          <w:tcPr>
                            <w:tcW w:w="3691" w:type="pct"/>
                            <w:vAlign w:val="center"/>
                          </w:tcPr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705E9" w:rsidRDefault="00C705E9" w:rsidP="00C705E9">
                            <w:pPr>
                              <w:pStyle w:val="Bezproreda"/>
                              <w:spacing w:line="312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705E9" w:rsidRDefault="009D258E" w:rsidP="00574C2D">
                            <w:pPr>
                              <w:pStyle w:val="Bezproreda"/>
                              <w:spacing w:line="312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  <w:pict>
                                <v:shape id="_x0000_i1026" type="#_x0000_t75" style="width:260.25pt;height:202.5pt">
                                  <v:imagedata r:id="rId9" o:title="20220811_003147"/>
                                </v:shape>
                              </w:pict>
                            </w:r>
                          </w:p>
                          <w:p w:rsidR="00C705E9" w:rsidRDefault="00C705E9" w:rsidP="00510B2F">
                            <w:pPr>
                              <w:pStyle w:val="Bezproreda"/>
                              <w:spacing w:line="312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E3D98" w:rsidRDefault="008E3D98" w:rsidP="008E3D98">
                            <w:pPr>
                              <w:pStyle w:val="Bezproreda"/>
                              <w:spacing w:line="312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C705E9"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  <w:t>Pi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lot-projekt povoljnijega javnog </w:t>
                            </w:r>
                          </w:p>
                          <w:p w:rsidR="00C705E9" w:rsidRDefault="008E3D98" w:rsidP="008E3D98">
                            <w:pPr>
                              <w:pStyle w:val="Bezproreda"/>
                              <w:spacing w:line="312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C705E9"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  <w:t>željezničkog prijevoza studenata</w:t>
                            </w:r>
                          </w:p>
                          <w:sdt>
                            <w:sdtPr>
                              <w:rPr>
                                <w:color w:val="000000" w:themeColor="text1"/>
                                <w:sz w:val="24"/>
                              </w:rPr>
                              <w:alias w:val="Podnaslov"/>
                              <w:tag w:val=""/>
                              <w:id w:val="135407256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C705E9" w:rsidRDefault="00C705E9" w:rsidP="000134FB">
                                <w:pPr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309" w:type="pct"/>
                          </w:tcPr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Default="00C705E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705E9" w:rsidRPr="008E3D98" w:rsidRDefault="00C705E9" w:rsidP="00574C2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8E3D98">
                              <w:rPr>
                                <w:rFonts w:ascii="Times New Roman" w:hAnsi="Times New Roman" w:cs="Times New Roman"/>
                                <w:i/>
                              </w:rPr>
                              <w:t>U cilju demografske revitalizacije, poboljšanja životnog standarda</w:t>
                            </w:r>
                            <w:r w:rsidR="008E3D9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studenata i njihovih obitelji te</w:t>
                            </w:r>
                            <w:r w:rsidRPr="008E3D9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poticanja korištenja željezničkog prijevoza</w:t>
                            </w:r>
                            <w:r w:rsidR="000715F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kao ekološki najprihvatljivijeg oblika prijevoza</w:t>
                            </w:r>
                          </w:p>
                        </w:tc>
                      </w:tr>
                    </w:tbl>
                    <w:p w:rsidR="00510B2F" w:rsidRPr="009F38A3" w:rsidRDefault="00510B2F" w:rsidP="00510B2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10B2F" w:rsidRPr="00561B4A">
        <w:rPr>
          <w:rFonts w:ascii="Times New Roman" w:hAnsi="Times New Roman" w:cs="Times New Roman"/>
          <w:b/>
          <w:bCs/>
        </w:rPr>
        <w:br w:type="page"/>
      </w:r>
    </w:p>
    <w:p w:rsidR="00EB7F81" w:rsidRPr="00561B4A" w:rsidRDefault="00EB7F81" w:rsidP="00EB7F8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Trenut</w:t>
      </w:r>
      <w:r w:rsidR="00164983" w:rsidRPr="00561B4A">
        <w:rPr>
          <w:rFonts w:ascii="Times New Roman" w:hAnsi="Times New Roman" w:cs="Times New Roman"/>
          <w:b/>
          <w:bCs/>
          <w:sz w:val="24"/>
          <w:szCs w:val="24"/>
        </w:rPr>
        <w:t>ač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no stanje</w:t>
      </w:r>
    </w:p>
    <w:p w:rsidR="00A567B5" w:rsidRPr="00561B4A" w:rsidRDefault="00E958A6" w:rsidP="008F2CDE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HŽ Putnički prijevoz d.o.o. (dalje u tekstu: HŽPP</w:t>
      </w:r>
      <w:r w:rsidR="00DF4BFB" w:rsidRPr="00561B4A">
        <w:rPr>
          <w:rFonts w:ascii="Times New Roman" w:hAnsi="Times New Roman" w:cs="Times New Roman"/>
          <w:sz w:val="24"/>
          <w:szCs w:val="24"/>
        </w:rPr>
        <w:t>)</w:t>
      </w:r>
      <w:r w:rsidR="00A567B5"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="00ED05B9" w:rsidRPr="00561B4A">
        <w:rPr>
          <w:rFonts w:ascii="Times New Roman" w:hAnsi="Times New Roman" w:cs="Times New Roman"/>
          <w:sz w:val="24"/>
          <w:szCs w:val="24"/>
        </w:rPr>
        <w:t>je tijekom prethodne akademske godine</w:t>
      </w:r>
      <w:r w:rsidR="00A567B5" w:rsidRPr="00561B4A">
        <w:rPr>
          <w:rFonts w:ascii="Times New Roman" w:hAnsi="Times New Roman" w:cs="Times New Roman"/>
          <w:sz w:val="24"/>
          <w:szCs w:val="24"/>
        </w:rPr>
        <w:t xml:space="preserve"> sklop</w:t>
      </w:r>
      <w:r w:rsidR="00ED05B9" w:rsidRPr="00561B4A">
        <w:rPr>
          <w:rFonts w:ascii="Times New Roman" w:hAnsi="Times New Roman" w:cs="Times New Roman"/>
          <w:sz w:val="24"/>
          <w:szCs w:val="24"/>
        </w:rPr>
        <w:t>io</w:t>
      </w:r>
      <w:r w:rsidR="00A567B5" w:rsidRPr="00561B4A">
        <w:rPr>
          <w:rFonts w:ascii="Times New Roman" w:hAnsi="Times New Roman" w:cs="Times New Roman"/>
          <w:sz w:val="24"/>
          <w:szCs w:val="24"/>
        </w:rPr>
        <w:t xml:space="preserve"> ugovore </w:t>
      </w:r>
      <w:r w:rsidR="00BA6B14" w:rsidRPr="00561B4A">
        <w:rPr>
          <w:rFonts w:ascii="Times New Roman" w:hAnsi="Times New Roman" w:cs="Times New Roman"/>
          <w:sz w:val="24"/>
          <w:szCs w:val="24"/>
        </w:rPr>
        <w:t xml:space="preserve">s jedinicama lokalne i područne (regionalne) samouprave kojima se </w:t>
      </w:r>
      <w:r w:rsidR="00A57D93" w:rsidRPr="00561B4A">
        <w:rPr>
          <w:rFonts w:ascii="Times New Roman" w:hAnsi="Times New Roman" w:cs="Times New Roman"/>
          <w:sz w:val="24"/>
          <w:szCs w:val="24"/>
        </w:rPr>
        <w:t xml:space="preserve">potpuno </w:t>
      </w:r>
      <w:r w:rsidR="00DA5B13" w:rsidRPr="00561B4A">
        <w:rPr>
          <w:rFonts w:ascii="Times New Roman" w:hAnsi="Times New Roman" w:cs="Times New Roman"/>
          <w:sz w:val="24"/>
          <w:szCs w:val="24"/>
        </w:rPr>
        <w:t xml:space="preserve">ili </w:t>
      </w:r>
      <w:r w:rsidR="00A57D93" w:rsidRPr="00561B4A">
        <w:rPr>
          <w:rFonts w:ascii="Times New Roman" w:hAnsi="Times New Roman" w:cs="Times New Roman"/>
          <w:sz w:val="24"/>
          <w:szCs w:val="24"/>
        </w:rPr>
        <w:t>djelomično</w:t>
      </w:r>
      <w:r w:rsidR="00094D22" w:rsidRPr="00561B4A">
        <w:rPr>
          <w:rFonts w:ascii="Times New Roman" w:hAnsi="Times New Roman" w:cs="Times New Roman"/>
          <w:sz w:val="24"/>
          <w:szCs w:val="24"/>
        </w:rPr>
        <w:t xml:space="preserve"> sufinancira</w:t>
      </w:r>
      <w:r w:rsidR="00BA6B14" w:rsidRPr="00561B4A">
        <w:rPr>
          <w:rFonts w:ascii="Times New Roman" w:hAnsi="Times New Roman" w:cs="Times New Roman"/>
          <w:sz w:val="24"/>
          <w:szCs w:val="24"/>
        </w:rPr>
        <w:t xml:space="preserve">o </w:t>
      </w:r>
      <w:r w:rsidR="00A567B5" w:rsidRPr="00561B4A">
        <w:rPr>
          <w:rFonts w:ascii="Times New Roman" w:hAnsi="Times New Roman" w:cs="Times New Roman"/>
          <w:sz w:val="24"/>
          <w:szCs w:val="24"/>
        </w:rPr>
        <w:t>prijevoz studenata</w:t>
      </w:r>
      <w:r w:rsidR="002F0444" w:rsidRPr="00561B4A">
        <w:rPr>
          <w:rFonts w:ascii="Times New Roman" w:hAnsi="Times New Roman" w:cs="Times New Roman"/>
          <w:sz w:val="24"/>
          <w:szCs w:val="24"/>
        </w:rPr>
        <w:t xml:space="preserve">. </w:t>
      </w:r>
      <w:r w:rsidR="009828E1" w:rsidRPr="00561B4A">
        <w:rPr>
          <w:rFonts w:ascii="Times New Roman" w:hAnsi="Times New Roman" w:cs="Times New Roman"/>
          <w:sz w:val="24"/>
          <w:szCs w:val="24"/>
        </w:rPr>
        <w:t xml:space="preserve">Prijevoz studenata u potpunosti </w:t>
      </w:r>
      <w:r w:rsidR="000B18AE" w:rsidRPr="00561B4A">
        <w:rPr>
          <w:rFonts w:ascii="Times New Roman" w:hAnsi="Times New Roman" w:cs="Times New Roman"/>
          <w:sz w:val="24"/>
          <w:szCs w:val="24"/>
        </w:rPr>
        <w:t xml:space="preserve">su </w:t>
      </w:r>
      <w:r w:rsidR="009828E1" w:rsidRPr="00561B4A">
        <w:rPr>
          <w:rFonts w:ascii="Times New Roman" w:hAnsi="Times New Roman" w:cs="Times New Roman"/>
          <w:sz w:val="24"/>
          <w:szCs w:val="24"/>
        </w:rPr>
        <w:t>sufinancira</w:t>
      </w:r>
      <w:r w:rsidR="000B18AE" w:rsidRPr="00561B4A">
        <w:rPr>
          <w:rFonts w:ascii="Times New Roman" w:hAnsi="Times New Roman" w:cs="Times New Roman"/>
          <w:sz w:val="24"/>
          <w:szCs w:val="24"/>
        </w:rPr>
        <w:t>le</w:t>
      </w:r>
      <w:r w:rsidR="009828E1"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="008F2CDE" w:rsidRPr="00561B4A">
        <w:rPr>
          <w:rFonts w:ascii="Times New Roman" w:hAnsi="Times New Roman" w:cs="Times New Roman"/>
          <w:sz w:val="24"/>
          <w:szCs w:val="24"/>
        </w:rPr>
        <w:t>Splitsko</w:t>
      </w:r>
      <w:r w:rsidR="001A0D73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dalmatinska, Požeško</w:t>
      </w:r>
      <w:r w:rsidR="001A0D73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slavonska, Primorsko</w:t>
      </w:r>
      <w:r w:rsidR="001A0D73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goranska, Brodsko</w:t>
      </w:r>
      <w:r w:rsidR="001A0D73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posavska, Osječko</w:t>
      </w:r>
      <w:r w:rsidR="001A0D73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baranjska, Bjelovarsko</w:t>
      </w:r>
      <w:r w:rsidR="001A0D73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bilogorska, Vukovarsko-srijemska i Ličko-senjska</w:t>
      </w:r>
      <w:r w:rsidR="009828E1" w:rsidRPr="00561B4A">
        <w:rPr>
          <w:rFonts w:ascii="Times New Roman" w:hAnsi="Times New Roman" w:cs="Times New Roman"/>
          <w:sz w:val="24"/>
          <w:szCs w:val="24"/>
        </w:rPr>
        <w:t xml:space="preserve"> županija</w:t>
      </w:r>
      <w:r w:rsidR="008F2CDE" w:rsidRPr="00561B4A">
        <w:rPr>
          <w:rFonts w:ascii="Times New Roman" w:hAnsi="Times New Roman" w:cs="Times New Roman"/>
          <w:sz w:val="24"/>
          <w:szCs w:val="24"/>
        </w:rPr>
        <w:t xml:space="preserve">, </w:t>
      </w:r>
      <w:r w:rsidR="009828E1" w:rsidRPr="00561B4A">
        <w:rPr>
          <w:rFonts w:ascii="Times New Roman" w:hAnsi="Times New Roman" w:cs="Times New Roman"/>
          <w:sz w:val="24"/>
          <w:szCs w:val="24"/>
        </w:rPr>
        <w:t>O</w:t>
      </w:r>
      <w:r w:rsidR="008F2CDE" w:rsidRPr="00561B4A">
        <w:rPr>
          <w:rFonts w:ascii="Times New Roman" w:hAnsi="Times New Roman" w:cs="Times New Roman"/>
          <w:sz w:val="24"/>
          <w:szCs w:val="24"/>
        </w:rPr>
        <w:t>pćina Stubičke Toplice te gradovi Ivanić</w:t>
      </w:r>
      <w:r w:rsidR="009828E1" w:rsidRPr="00561B4A">
        <w:rPr>
          <w:rFonts w:ascii="Times New Roman" w:hAnsi="Times New Roman" w:cs="Times New Roman"/>
          <w:sz w:val="24"/>
          <w:szCs w:val="24"/>
        </w:rPr>
        <w:t>-</w:t>
      </w:r>
      <w:r w:rsidR="008F2CDE" w:rsidRPr="00561B4A">
        <w:rPr>
          <w:rFonts w:ascii="Times New Roman" w:hAnsi="Times New Roman" w:cs="Times New Roman"/>
          <w:sz w:val="24"/>
          <w:szCs w:val="24"/>
        </w:rPr>
        <w:t>Grad i Slatina</w:t>
      </w:r>
      <w:r w:rsidR="00717E43" w:rsidRPr="00561B4A">
        <w:rPr>
          <w:rFonts w:ascii="Times New Roman" w:hAnsi="Times New Roman" w:cs="Times New Roman"/>
          <w:sz w:val="24"/>
          <w:szCs w:val="24"/>
        </w:rPr>
        <w:t xml:space="preserve">, </w:t>
      </w:r>
      <w:r w:rsidR="00621C57" w:rsidRPr="00561B4A">
        <w:rPr>
          <w:rFonts w:ascii="Times New Roman" w:hAnsi="Times New Roman" w:cs="Times New Roman"/>
          <w:sz w:val="24"/>
          <w:szCs w:val="24"/>
        </w:rPr>
        <w:t xml:space="preserve">a ostale jedinice </w:t>
      </w:r>
      <w:r w:rsidR="00717E43" w:rsidRPr="00561B4A">
        <w:rPr>
          <w:rFonts w:ascii="Times New Roman" w:hAnsi="Times New Roman" w:cs="Times New Roman"/>
          <w:sz w:val="24"/>
          <w:szCs w:val="24"/>
        </w:rPr>
        <w:t>sufinancira</w:t>
      </w:r>
      <w:r w:rsidR="000B18AE" w:rsidRPr="00561B4A">
        <w:rPr>
          <w:rFonts w:ascii="Times New Roman" w:hAnsi="Times New Roman" w:cs="Times New Roman"/>
          <w:sz w:val="24"/>
          <w:szCs w:val="24"/>
        </w:rPr>
        <w:t xml:space="preserve">le su </w:t>
      </w:r>
      <w:r w:rsidR="00621C57" w:rsidRPr="00561B4A">
        <w:rPr>
          <w:rFonts w:ascii="Times New Roman" w:hAnsi="Times New Roman" w:cs="Times New Roman"/>
          <w:sz w:val="24"/>
          <w:szCs w:val="24"/>
        </w:rPr>
        <w:t xml:space="preserve">ga </w:t>
      </w:r>
      <w:r w:rsidR="00717E43" w:rsidRPr="00561B4A">
        <w:rPr>
          <w:rFonts w:ascii="Times New Roman" w:hAnsi="Times New Roman" w:cs="Times New Roman"/>
          <w:sz w:val="24"/>
          <w:szCs w:val="24"/>
        </w:rPr>
        <w:t>djelomično (</w:t>
      </w:r>
      <w:r w:rsidR="00D07DAB" w:rsidRPr="00561B4A">
        <w:rPr>
          <w:rFonts w:ascii="Times New Roman" w:hAnsi="Times New Roman" w:cs="Times New Roman"/>
          <w:sz w:val="24"/>
          <w:szCs w:val="24"/>
        </w:rPr>
        <w:t xml:space="preserve">popis jedinica naveden je u </w:t>
      </w:r>
      <w:r w:rsidR="00717E43" w:rsidRPr="00561B4A">
        <w:rPr>
          <w:rFonts w:ascii="Times New Roman" w:hAnsi="Times New Roman" w:cs="Times New Roman"/>
          <w:i/>
          <w:iCs/>
          <w:sz w:val="24"/>
          <w:szCs w:val="24"/>
        </w:rPr>
        <w:t>Prilog</w:t>
      </w:r>
      <w:r w:rsidR="00D07DAB" w:rsidRPr="00561B4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717E43" w:rsidRPr="00561B4A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251DAE" w:rsidRPr="00561B4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6268B9" w:rsidRPr="00561B4A">
        <w:rPr>
          <w:rFonts w:ascii="Times New Roman" w:hAnsi="Times New Roman" w:cs="Times New Roman"/>
          <w:i/>
          <w:iCs/>
          <w:sz w:val="24"/>
          <w:szCs w:val="24"/>
        </w:rPr>
        <w:t>Popis županija/općina/gradova s kojima je sklopljen ugovor o sufinanciranju prijevoza studenata za akademsku godinu 2021/22</w:t>
      </w:r>
      <w:r w:rsidR="00251DAE" w:rsidRPr="00561B4A">
        <w:rPr>
          <w:rFonts w:ascii="Times New Roman" w:hAnsi="Times New Roman" w:cs="Times New Roman"/>
          <w:sz w:val="24"/>
          <w:szCs w:val="24"/>
        </w:rPr>
        <w:t>)</w:t>
      </w:r>
      <w:r w:rsidR="00686AD0" w:rsidRPr="00561B4A">
        <w:rPr>
          <w:rFonts w:ascii="Times New Roman" w:hAnsi="Times New Roman" w:cs="Times New Roman"/>
          <w:sz w:val="24"/>
          <w:szCs w:val="24"/>
        </w:rPr>
        <w:t>.</w:t>
      </w:r>
    </w:p>
    <w:p w:rsidR="00CF475F" w:rsidRPr="00561B4A" w:rsidRDefault="00A567B5" w:rsidP="00CF475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Ukupn</w:t>
      </w:r>
      <w:r w:rsidR="004A12BB" w:rsidRPr="00561B4A">
        <w:rPr>
          <w:rFonts w:ascii="Times New Roman" w:hAnsi="Times New Roman" w:cs="Times New Roman"/>
          <w:sz w:val="24"/>
          <w:szCs w:val="24"/>
        </w:rPr>
        <w:t>i</w:t>
      </w:r>
      <w:r w:rsidRPr="00561B4A">
        <w:rPr>
          <w:rFonts w:ascii="Times New Roman" w:hAnsi="Times New Roman" w:cs="Times New Roman"/>
          <w:sz w:val="24"/>
          <w:szCs w:val="24"/>
        </w:rPr>
        <w:t xml:space="preserve"> ostvareni prihod od </w:t>
      </w:r>
      <w:r w:rsidR="003844DC" w:rsidRPr="00561B4A">
        <w:rPr>
          <w:rFonts w:ascii="Times New Roman" w:hAnsi="Times New Roman" w:cs="Times New Roman"/>
          <w:sz w:val="24"/>
          <w:szCs w:val="24"/>
        </w:rPr>
        <w:t xml:space="preserve">sufinanciranog </w:t>
      </w:r>
      <w:r w:rsidRPr="00561B4A">
        <w:rPr>
          <w:rFonts w:ascii="Times New Roman" w:hAnsi="Times New Roman" w:cs="Times New Roman"/>
          <w:sz w:val="24"/>
          <w:szCs w:val="24"/>
        </w:rPr>
        <w:t xml:space="preserve">prijevoza studenata u akademskoj godini 2020/21. iznosio je 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4.330.835,00 k</w:t>
      </w:r>
      <w:r w:rsidR="00AE1801" w:rsidRPr="00561B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B18AE" w:rsidRPr="00561B4A">
        <w:rPr>
          <w:rFonts w:ascii="Times New Roman" w:hAnsi="Times New Roman" w:cs="Times New Roman"/>
          <w:sz w:val="24"/>
          <w:szCs w:val="24"/>
        </w:rPr>
        <w:t>,</w:t>
      </w:r>
      <w:r w:rsidRPr="00561B4A">
        <w:rPr>
          <w:rFonts w:ascii="Times New Roman" w:hAnsi="Times New Roman" w:cs="Times New Roman"/>
          <w:sz w:val="24"/>
          <w:szCs w:val="24"/>
        </w:rPr>
        <w:t xml:space="preserve"> što je za 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83% više</w:t>
      </w:r>
      <w:r w:rsidRPr="00561B4A">
        <w:rPr>
          <w:rFonts w:ascii="Times New Roman" w:hAnsi="Times New Roman" w:cs="Times New Roman"/>
          <w:sz w:val="24"/>
          <w:szCs w:val="24"/>
        </w:rPr>
        <w:t xml:space="preserve"> u odnosu na akademsku godinu 2019/20. </w:t>
      </w:r>
      <w:r w:rsidR="004A12BB" w:rsidRPr="00561B4A">
        <w:rPr>
          <w:rFonts w:ascii="Times New Roman" w:hAnsi="Times New Roman" w:cs="Times New Roman"/>
          <w:sz w:val="24"/>
          <w:szCs w:val="24"/>
        </w:rPr>
        <w:t xml:space="preserve">u kojoj je </w:t>
      </w:r>
      <w:r w:rsidRPr="00561B4A">
        <w:rPr>
          <w:rFonts w:ascii="Times New Roman" w:hAnsi="Times New Roman" w:cs="Times New Roman"/>
          <w:sz w:val="24"/>
          <w:szCs w:val="24"/>
        </w:rPr>
        <w:t>prihod</w:t>
      </w:r>
      <w:r w:rsidR="00FC08EF" w:rsidRPr="00561B4A">
        <w:rPr>
          <w:rFonts w:ascii="Times New Roman" w:hAnsi="Times New Roman" w:cs="Times New Roman"/>
          <w:sz w:val="24"/>
          <w:szCs w:val="24"/>
        </w:rPr>
        <w:t xml:space="preserve"> uslijed </w:t>
      </w:r>
      <w:proofErr w:type="spellStart"/>
      <w:r w:rsidR="00FC08EF" w:rsidRPr="00561B4A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FC08EF"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="000B43EA">
        <w:rPr>
          <w:rFonts w:ascii="Times New Roman" w:hAnsi="Times New Roman" w:cs="Times New Roman"/>
          <w:sz w:val="24"/>
          <w:szCs w:val="24"/>
        </w:rPr>
        <w:t>bolesti C</w:t>
      </w:r>
      <w:r w:rsidR="004A12BB" w:rsidRPr="00561B4A">
        <w:rPr>
          <w:rFonts w:ascii="Times New Roman" w:hAnsi="Times New Roman" w:cs="Times New Roman"/>
          <w:sz w:val="24"/>
          <w:szCs w:val="24"/>
        </w:rPr>
        <w:t xml:space="preserve">ovida-19 </w:t>
      </w:r>
      <w:r w:rsidR="00FC08EF" w:rsidRPr="00561B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08EF" w:rsidRPr="00561B4A">
        <w:rPr>
          <w:rFonts w:ascii="Times New Roman" w:hAnsi="Times New Roman" w:cs="Times New Roman"/>
          <w:sz w:val="24"/>
          <w:szCs w:val="24"/>
        </w:rPr>
        <w:t>lockdown</w:t>
      </w:r>
      <w:proofErr w:type="spellEnd"/>
      <w:r w:rsidR="00FC08EF" w:rsidRPr="00561B4A">
        <w:rPr>
          <w:rFonts w:ascii="Times New Roman" w:hAnsi="Times New Roman" w:cs="Times New Roman"/>
          <w:sz w:val="24"/>
          <w:szCs w:val="24"/>
        </w:rPr>
        <w:t xml:space="preserve"> i </w:t>
      </w:r>
      <w:r w:rsidR="00FC08EF" w:rsidRPr="00DD5BB3">
        <w:rPr>
          <w:rFonts w:ascii="Times New Roman" w:hAnsi="Times New Roman" w:cs="Times New Roman"/>
          <w:i/>
          <w:sz w:val="24"/>
          <w:szCs w:val="24"/>
        </w:rPr>
        <w:t>online</w:t>
      </w:r>
      <w:r w:rsidR="00FC08EF" w:rsidRPr="00561B4A">
        <w:rPr>
          <w:rFonts w:ascii="Times New Roman" w:hAnsi="Times New Roman" w:cs="Times New Roman"/>
          <w:sz w:val="24"/>
          <w:szCs w:val="24"/>
        </w:rPr>
        <w:t xml:space="preserve"> predavanja) </w:t>
      </w:r>
      <w:r w:rsidRPr="00561B4A">
        <w:rPr>
          <w:rFonts w:ascii="Times New Roman" w:hAnsi="Times New Roman" w:cs="Times New Roman"/>
          <w:sz w:val="24"/>
          <w:szCs w:val="24"/>
        </w:rPr>
        <w:t>iznosio 2.363.120,65 k</w:t>
      </w:r>
      <w:r w:rsidR="00AE1801" w:rsidRPr="00561B4A">
        <w:rPr>
          <w:rFonts w:ascii="Times New Roman" w:hAnsi="Times New Roman" w:cs="Times New Roman"/>
          <w:sz w:val="24"/>
          <w:szCs w:val="24"/>
        </w:rPr>
        <w:t>n</w:t>
      </w:r>
      <w:r w:rsidRPr="00561B4A">
        <w:rPr>
          <w:rFonts w:ascii="Times New Roman" w:hAnsi="Times New Roman" w:cs="Times New Roman"/>
          <w:sz w:val="24"/>
          <w:szCs w:val="24"/>
        </w:rPr>
        <w:t>.</w:t>
      </w:r>
      <w:r w:rsidR="003844DC" w:rsidRPr="00561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75F" w:rsidRPr="00561B4A" w:rsidRDefault="00CF475F" w:rsidP="00CF475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986" w:rsidRPr="00561B4A" w:rsidRDefault="00420986" w:rsidP="00420986">
      <w:pPr>
        <w:pStyle w:val="Odlomakpopisa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Studenti koji putuju vlakom koriste pojedinačne, mjesečne, polumjesečne i godišnje karte. S o</w:t>
      </w:r>
      <w:r w:rsidRPr="00561B4A">
        <w:rPr>
          <w:rFonts w:ascii="Times New Roman" w:hAnsi="Times New Roman" w:cs="Times New Roman"/>
          <w:iCs/>
          <w:sz w:val="24"/>
          <w:szCs w:val="24"/>
        </w:rPr>
        <w:t>bzirom da je dio studenata tek djelomično ili uopće nije obuhvaćen trenutačnim modelom sufinanciranog prijevoza, kod izrade analize potrebno je uzeti u obzir i studente koji karte plaćaju samostalno te uz studentske povlastice koje odobrava HŽPP, ne koriste drugi izvor sufinanciranja prijevoza.</w:t>
      </w:r>
    </w:p>
    <w:p w:rsidR="00CF475F" w:rsidRPr="00561B4A" w:rsidRDefault="00CF475F" w:rsidP="00CF475F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U tablici 1</w:t>
      </w:r>
      <w:r w:rsidR="000B43EA">
        <w:rPr>
          <w:rFonts w:ascii="Times New Roman" w:hAnsi="Times New Roman" w:cs="Times New Roman"/>
          <w:sz w:val="24"/>
          <w:szCs w:val="24"/>
        </w:rPr>
        <w:t>.</w:t>
      </w:r>
      <w:r w:rsidRPr="00561B4A">
        <w:rPr>
          <w:rFonts w:ascii="Times New Roman" w:hAnsi="Times New Roman" w:cs="Times New Roman"/>
          <w:sz w:val="24"/>
          <w:szCs w:val="24"/>
        </w:rPr>
        <w:t xml:space="preserve"> prikazan</w:t>
      </w:r>
      <w:r w:rsidR="00F43932" w:rsidRPr="00561B4A">
        <w:rPr>
          <w:rFonts w:ascii="Times New Roman" w:hAnsi="Times New Roman" w:cs="Times New Roman"/>
          <w:sz w:val="24"/>
          <w:szCs w:val="24"/>
        </w:rPr>
        <w:t xml:space="preserve"> je prihod </w:t>
      </w:r>
      <w:r w:rsidR="00C409C1" w:rsidRPr="00561B4A">
        <w:rPr>
          <w:rFonts w:ascii="Times New Roman" w:hAnsi="Times New Roman" w:cs="Times New Roman"/>
          <w:sz w:val="24"/>
          <w:szCs w:val="24"/>
        </w:rPr>
        <w:t xml:space="preserve">od sufinanciranog prijevoza </w:t>
      </w:r>
      <w:r w:rsidR="00F43932" w:rsidRPr="00561B4A">
        <w:rPr>
          <w:rFonts w:ascii="Times New Roman" w:hAnsi="Times New Roman" w:cs="Times New Roman"/>
          <w:sz w:val="24"/>
          <w:szCs w:val="24"/>
        </w:rPr>
        <w:t xml:space="preserve">po mjesečnom broju studenata </w:t>
      </w:r>
      <w:r w:rsidRPr="00561B4A">
        <w:rPr>
          <w:rFonts w:ascii="Times New Roman" w:hAnsi="Times New Roman" w:cs="Times New Roman"/>
          <w:sz w:val="24"/>
          <w:szCs w:val="24"/>
        </w:rPr>
        <w:t>koji ostvaruju subvenciju županija, općina i gradova po akademskoj godini</w:t>
      </w:r>
      <w:r w:rsidR="00A85C85" w:rsidRPr="00561B4A">
        <w:rPr>
          <w:rFonts w:ascii="Times New Roman" w:hAnsi="Times New Roman" w:cs="Times New Roman"/>
          <w:sz w:val="24"/>
          <w:szCs w:val="24"/>
        </w:rPr>
        <w:t>, a u t</w:t>
      </w:r>
      <w:r w:rsidRPr="00561B4A">
        <w:rPr>
          <w:rFonts w:ascii="Times New Roman" w:hAnsi="Times New Roman" w:cs="Times New Roman"/>
          <w:sz w:val="24"/>
          <w:szCs w:val="24"/>
        </w:rPr>
        <w:t>ablici 2</w:t>
      </w:r>
      <w:r w:rsidR="000B43EA">
        <w:rPr>
          <w:rFonts w:ascii="Times New Roman" w:hAnsi="Times New Roman" w:cs="Times New Roman"/>
          <w:sz w:val="24"/>
          <w:szCs w:val="24"/>
        </w:rPr>
        <w:t>.</w:t>
      </w:r>
      <w:r w:rsidRPr="00561B4A">
        <w:rPr>
          <w:rFonts w:ascii="Times New Roman" w:hAnsi="Times New Roman" w:cs="Times New Roman"/>
          <w:sz w:val="24"/>
          <w:szCs w:val="24"/>
        </w:rPr>
        <w:t xml:space="preserve"> ukupni p</w:t>
      </w:r>
      <w:r w:rsidR="00531330" w:rsidRPr="00561B4A">
        <w:rPr>
          <w:rFonts w:ascii="Times New Roman" w:hAnsi="Times New Roman" w:cs="Times New Roman"/>
          <w:sz w:val="24"/>
          <w:szCs w:val="24"/>
        </w:rPr>
        <w:t xml:space="preserve">rihod i broj realiziranih putovanja </w:t>
      </w:r>
      <w:r w:rsidR="005E1663" w:rsidRPr="00561B4A">
        <w:rPr>
          <w:rFonts w:ascii="Times New Roman" w:hAnsi="Times New Roman" w:cs="Times New Roman"/>
          <w:sz w:val="24"/>
          <w:szCs w:val="24"/>
        </w:rPr>
        <w:t xml:space="preserve">po kalendarskoj godini </w:t>
      </w:r>
      <w:r w:rsidR="00531330" w:rsidRPr="00561B4A">
        <w:rPr>
          <w:rFonts w:ascii="Times New Roman" w:hAnsi="Times New Roman" w:cs="Times New Roman"/>
          <w:sz w:val="24"/>
          <w:szCs w:val="24"/>
        </w:rPr>
        <w:t xml:space="preserve">za </w:t>
      </w:r>
      <w:r w:rsidRPr="00561B4A">
        <w:rPr>
          <w:rFonts w:ascii="Times New Roman" w:hAnsi="Times New Roman" w:cs="Times New Roman"/>
          <w:sz w:val="24"/>
          <w:szCs w:val="24"/>
        </w:rPr>
        <w:t xml:space="preserve">sve studente koji su koristili uslugu HŽPP-a. Detaljna analiza prikazana je u </w:t>
      </w:r>
      <w:r w:rsidRPr="00561B4A">
        <w:rPr>
          <w:rFonts w:ascii="Times New Roman" w:hAnsi="Times New Roman" w:cs="Times New Roman"/>
          <w:i/>
          <w:iCs/>
          <w:sz w:val="24"/>
          <w:szCs w:val="24"/>
        </w:rPr>
        <w:t xml:space="preserve">Prilogu II: Razrada prihoda na osnovu prijevoza studenata po </w:t>
      </w:r>
      <w:r w:rsidR="00B36411" w:rsidRPr="00561B4A">
        <w:rPr>
          <w:rFonts w:ascii="Times New Roman" w:hAnsi="Times New Roman" w:cs="Times New Roman"/>
          <w:i/>
          <w:iCs/>
          <w:sz w:val="24"/>
          <w:szCs w:val="24"/>
        </w:rPr>
        <w:t xml:space="preserve">kalendarskim </w:t>
      </w:r>
      <w:r w:rsidRPr="00561B4A">
        <w:rPr>
          <w:rFonts w:ascii="Times New Roman" w:hAnsi="Times New Roman" w:cs="Times New Roman"/>
          <w:i/>
          <w:iCs/>
          <w:sz w:val="24"/>
          <w:szCs w:val="24"/>
        </w:rPr>
        <w:t>godinama 2019.</w:t>
      </w:r>
      <w:r w:rsidR="00A85C85" w:rsidRPr="00561B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1B4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85C85" w:rsidRPr="00561B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1B4A">
        <w:rPr>
          <w:rFonts w:ascii="Times New Roman" w:hAnsi="Times New Roman" w:cs="Times New Roman"/>
          <w:i/>
          <w:iCs/>
          <w:sz w:val="24"/>
          <w:szCs w:val="24"/>
        </w:rPr>
        <w:t>2022</w:t>
      </w:r>
      <w:r w:rsidRPr="00561B4A">
        <w:rPr>
          <w:rFonts w:ascii="Times New Roman" w:hAnsi="Times New Roman" w:cs="Times New Roman"/>
          <w:sz w:val="24"/>
          <w:szCs w:val="24"/>
        </w:rPr>
        <w:t>.</w:t>
      </w:r>
    </w:p>
    <w:p w:rsidR="00A567B5" w:rsidRPr="00561B4A" w:rsidRDefault="00A567B5" w:rsidP="00A56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7B5" w:rsidRPr="00561B4A" w:rsidRDefault="00A567B5" w:rsidP="00A567B5">
      <w:pPr>
        <w:rPr>
          <w:rFonts w:ascii="Times New Roman" w:hAnsi="Times New Roman" w:cs="Times New Roman"/>
          <w:i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i/>
          <w:sz w:val="24"/>
          <w:szCs w:val="24"/>
        </w:rPr>
        <w:t>Tablica 1.</w:t>
      </w:r>
      <w:r w:rsidR="00E22220"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E37" w:rsidRPr="00561B4A">
        <w:rPr>
          <w:rFonts w:ascii="Times New Roman" w:hAnsi="Times New Roman" w:cs="Times New Roman"/>
          <w:i/>
          <w:sz w:val="24"/>
          <w:szCs w:val="24"/>
        </w:rPr>
        <w:t>Priho</w:t>
      </w:r>
      <w:r w:rsidR="00830E2B" w:rsidRPr="00561B4A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5A3E37" w:rsidRPr="00561B4A">
        <w:rPr>
          <w:rFonts w:ascii="Times New Roman" w:hAnsi="Times New Roman" w:cs="Times New Roman"/>
          <w:i/>
          <w:sz w:val="24"/>
          <w:szCs w:val="24"/>
        </w:rPr>
        <w:t>od</w:t>
      </w:r>
      <w:r w:rsidR="00830E2B"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E37" w:rsidRPr="00561B4A">
        <w:rPr>
          <w:rFonts w:ascii="Times New Roman" w:hAnsi="Times New Roman" w:cs="Times New Roman"/>
          <w:i/>
          <w:sz w:val="24"/>
          <w:szCs w:val="24"/>
        </w:rPr>
        <w:t xml:space="preserve">sufinanciranog </w:t>
      </w:r>
      <w:r w:rsidR="00D43CDD" w:rsidRPr="00561B4A">
        <w:rPr>
          <w:rFonts w:ascii="Times New Roman" w:hAnsi="Times New Roman" w:cs="Times New Roman"/>
          <w:i/>
          <w:sz w:val="24"/>
          <w:szCs w:val="24"/>
        </w:rPr>
        <w:t>prijevoza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2FCF" w:rsidRPr="00561B4A">
        <w:rPr>
          <w:rFonts w:ascii="Times New Roman" w:hAnsi="Times New Roman" w:cs="Times New Roman"/>
          <w:i/>
          <w:sz w:val="24"/>
          <w:szCs w:val="24"/>
        </w:rPr>
        <w:t>po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A28" w:rsidRPr="00561B4A">
        <w:rPr>
          <w:rFonts w:ascii="Times New Roman" w:hAnsi="Times New Roman" w:cs="Times New Roman"/>
          <w:i/>
          <w:sz w:val="24"/>
          <w:szCs w:val="24"/>
        </w:rPr>
        <w:t xml:space="preserve">mjesečnom </w:t>
      </w:r>
      <w:r w:rsidRPr="00561B4A">
        <w:rPr>
          <w:rFonts w:ascii="Times New Roman" w:hAnsi="Times New Roman" w:cs="Times New Roman"/>
          <w:i/>
          <w:sz w:val="24"/>
          <w:szCs w:val="24"/>
        </w:rPr>
        <w:t>br</w:t>
      </w:r>
      <w:r w:rsidR="00BB2FCF" w:rsidRPr="00561B4A">
        <w:rPr>
          <w:rFonts w:ascii="Times New Roman" w:hAnsi="Times New Roman" w:cs="Times New Roman"/>
          <w:i/>
          <w:sz w:val="24"/>
          <w:szCs w:val="24"/>
        </w:rPr>
        <w:t>oj</w:t>
      </w:r>
      <w:r w:rsidR="00D43CDD" w:rsidRPr="00561B4A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studenata </w:t>
      </w:r>
      <w:r w:rsidR="00E22220" w:rsidRPr="00561B4A">
        <w:rPr>
          <w:rFonts w:ascii="Times New Roman" w:hAnsi="Times New Roman" w:cs="Times New Roman"/>
          <w:i/>
          <w:sz w:val="24"/>
          <w:szCs w:val="24"/>
        </w:rPr>
        <w:t>po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akademsk</w:t>
      </w:r>
      <w:r w:rsidR="00E22220" w:rsidRPr="00561B4A">
        <w:rPr>
          <w:rFonts w:ascii="Times New Roman" w:hAnsi="Times New Roman" w:cs="Times New Roman"/>
          <w:i/>
          <w:sz w:val="24"/>
          <w:szCs w:val="24"/>
        </w:rPr>
        <w:t>im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godin</w:t>
      </w:r>
      <w:r w:rsidR="00E22220" w:rsidRPr="00561B4A">
        <w:rPr>
          <w:rFonts w:ascii="Times New Roman" w:hAnsi="Times New Roman" w:cs="Times New Roman"/>
          <w:i/>
          <w:sz w:val="24"/>
          <w:szCs w:val="24"/>
        </w:rPr>
        <w:t>ama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1874"/>
        <w:gridCol w:w="1446"/>
        <w:gridCol w:w="1814"/>
        <w:gridCol w:w="1506"/>
        <w:gridCol w:w="1896"/>
      </w:tblGrid>
      <w:tr w:rsidR="00316721" w:rsidRPr="00561B4A" w:rsidTr="00316721">
        <w:trPr>
          <w:trHeight w:val="30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2019/20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2020/21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2021/</w:t>
            </w:r>
            <w:r w:rsidR="003830CA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IV</w:t>
            </w:r>
            <w:r w:rsidR="00E541B9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3830CA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2022.</w:t>
            </w:r>
          </w:p>
        </w:tc>
      </w:tr>
      <w:tr w:rsidR="00316721" w:rsidRPr="00561B4A" w:rsidTr="00316721">
        <w:trPr>
          <w:trHeight w:val="450"/>
          <w:jc w:val="center"/>
        </w:trPr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1C28CA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Mjesečni b</w:t>
            </w:r>
            <w:r w:rsidR="00316721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roj studenata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Sufinancirani prihod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1C28CA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Mjesečni b</w:t>
            </w:r>
            <w:r w:rsidR="00316721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roj studenata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Sufinancirani prihod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1C28CA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Mjesečni b</w:t>
            </w:r>
            <w:r w:rsidR="00316721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roj studenata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Sufinancirani prihod</w:t>
            </w:r>
          </w:p>
        </w:tc>
      </w:tr>
      <w:tr w:rsidR="00316721" w:rsidRPr="00561B4A" w:rsidTr="00316721">
        <w:trPr>
          <w:trHeight w:val="458"/>
          <w:jc w:val="center"/>
        </w:trPr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16721" w:rsidRPr="00561B4A" w:rsidTr="00316721">
        <w:trPr>
          <w:trHeight w:val="300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3.486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2.363.120,65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4.330.835,20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3.195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21" w:rsidRPr="00561B4A" w:rsidRDefault="00316721" w:rsidP="00316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2.355.059,01</w:t>
            </w:r>
          </w:p>
        </w:tc>
      </w:tr>
    </w:tbl>
    <w:p w:rsidR="008D2845" w:rsidRPr="00561B4A" w:rsidRDefault="008D2845" w:rsidP="00316721">
      <w:pPr>
        <w:spacing w:after="80"/>
        <w:rPr>
          <w:rFonts w:ascii="Times New Roman" w:hAnsi="Times New Roman" w:cs="Times New Roman"/>
          <w:iCs/>
          <w:sz w:val="24"/>
          <w:szCs w:val="24"/>
        </w:rPr>
      </w:pPr>
    </w:p>
    <w:p w:rsidR="002D61AE" w:rsidRPr="00561B4A" w:rsidRDefault="002D61AE" w:rsidP="00316721">
      <w:pPr>
        <w:spacing w:after="80"/>
        <w:rPr>
          <w:rFonts w:ascii="Times New Roman" w:hAnsi="Times New Roman" w:cs="Times New Roman"/>
          <w:iCs/>
          <w:sz w:val="24"/>
          <w:szCs w:val="24"/>
        </w:rPr>
      </w:pPr>
    </w:p>
    <w:p w:rsidR="00A567B5" w:rsidRPr="00561B4A" w:rsidRDefault="00A567B5" w:rsidP="00A567B5">
      <w:pPr>
        <w:rPr>
          <w:rFonts w:ascii="Times New Roman" w:hAnsi="Times New Roman" w:cs="Times New Roman"/>
          <w:i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i/>
          <w:sz w:val="24"/>
          <w:szCs w:val="24"/>
        </w:rPr>
        <w:t>Tablica 2.</w:t>
      </w:r>
      <w:r w:rsidR="007A74AE"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1B4A">
        <w:rPr>
          <w:rFonts w:ascii="Times New Roman" w:hAnsi="Times New Roman" w:cs="Times New Roman"/>
          <w:i/>
          <w:sz w:val="24"/>
          <w:szCs w:val="24"/>
        </w:rPr>
        <w:t>Ukupn</w:t>
      </w:r>
      <w:r w:rsidR="00FB0E8F" w:rsidRPr="00561B4A">
        <w:rPr>
          <w:rFonts w:ascii="Times New Roman" w:hAnsi="Times New Roman" w:cs="Times New Roman"/>
          <w:i/>
          <w:sz w:val="24"/>
          <w:szCs w:val="24"/>
        </w:rPr>
        <w:t>i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4AE" w:rsidRPr="00561B4A">
        <w:rPr>
          <w:rFonts w:ascii="Times New Roman" w:hAnsi="Times New Roman" w:cs="Times New Roman"/>
          <w:i/>
          <w:sz w:val="24"/>
          <w:szCs w:val="24"/>
        </w:rPr>
        <w:t>p</w:t>
      </w:r>
      <w:r w:rsidRPr="00561B4A">
        <w:rPr>
          <w:rFonts w:ascii="Times New Roman" w:hAnsi="Times New Roman" w:cs="Times New Roman"/>
          <w:i/>
          <w:sz w:val="24"/>
          <w:szCs w:val="24"/>
        </w:rPr>
        <w:t>rihod</w:t>
      </w:r>
      <w:r w:rsidR="007A74AE" w:rsidRPr="00561B4A">
        <w:rPr>
          <w:rFonts w:ascii="Times New Roman" w:hAnsi="Times New Roman" w:cs="Times New Roman"/>
          <w:i/>
          <w:sz w:val="24"/>
          <w:szCs w:val="24"/>
        </w:rPr>
        <w:t xml:space="preserve"> i realizirana 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putovanja studenata koji su koristili uslugu HŽPP-a </w:t>
      </w:r>
      <w:r w:rsidR="007A74AE" w:rsidRPr="00561B4A">
        <w:rPr>
          <w:rFonts w:ascii="Times New Roman" w:hAnsi="Times New Roman" w:cs="Times New Roman"/>
          <w:i/>
          <w:sz w:val="24"/>
          <w:szCs w:val="24"/>
        </w:rPr>
        <w:t xml:space="preserve">po </w:t>
      </w:r>
      <w:r w:rsidR="00B36411" w:rsidRPr="00561B4A">
        <w:rPr>
          <w:rFonts w:ascii="Times New Roman" w:hAnsi="Times New Roman" w:cs="Times New Roman"/>
          <w:i/>
          <w:sz w:val="24"/>
          <w:szCs w:val="24"/>
        </w:rPr>
        <w:t xml:space="preserve">kalendarskim </w:t>
      </w:r>
      <w:r w:rsidRPr="00561B4A">
        <w:rPr>
          <w:rFonts w:ascii="Times New Roman" w:hAnsi="Times New Roman" w:cs="Times New Roman"/>
          <w:i/>
          <w:sz w:val="24"/>
          <w:szCs w:val="24"/>
        </w:rPr>
        <w:t>godin</w:t>
      </w:r>
      <w:r w:rsidR="007A74AE" w:rsidRPr="00561B4A">
        <w:rPr>
          <w:rFonts w:ascii="Times New Roman" w:hAnsi="Times New Roman" w:cs="Times New Roman"/>
          <w:i/>
          <w:sz w:val="24"/>
          <w:szCs w:val="24"/>
        </w:rPr>
        <w:t>ama</w:t>
      </w:r>
    </w:p>
    <w:tbl>
      <w:tblPr>
        <w:tblW w:w="5764" w:type="pct"/>
        <w:jc w:val="center"/>
        <w:tblLook w:val="04A0" w:firstRow="1" w:lastRow="0" w:firstColumn="1" w:lastColumn="0" w:noHBand="0" w:noVBand="1"/>
      </w:tblPr>
      <w:tblGrid>
        <w:gridCol w:w="1138"/>
        <w:gridCol w:w="1083"/>
        <w:gridCol w:w="1366"/>
        <w:gridCol w:w="1083"/>
        <w:gridCol w:w="1366"/>
        <w:gridCol w:w="1083"/>
        <w:gridCol w:w="1366"/>
        <w:gridCol w:w="1083"/>
        <w:gridCol w:w="1366"/>
      </w:tblGrid>
      <w:tr w:rsidR="00582AAB" w:rsidRPr="00561B4A" w:rsidTr="00793242">
        <w:trPr>
          <w:trHeight w:val="324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547301" w:rsidRPr="00561B4A" w:rsidRDefault="00FF1E37" w:rsidP="005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2019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2020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2021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80385C" w:rsidP="0080385C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 - VI </w:t>
            </w:r>
            <w:r w:rsidR="00547301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2022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F1E37" w:rsidRPr="00561B4A" w:rsidTr="00FF1E37">
        <w:trPr>
          <w:trHeight w:val="828"/>
          <w:jc w:val="center"/>
        </w:trPr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putovanja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(kn)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putovanja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(kn)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putovanja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(kn)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putovanja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FF1E37" w:rsidRPr="00561B4A" w:rsidRDefault="00FF1E37" w:rsidP="00FF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(kn)</w:t>
            </w:r>
          </w:p>
        </w:tc>
      </w:tr>
      <w:tr w:rsidR="00FF1E37" w:rsidRPr="00561B4A" w:rsidTr="00FF1E37">
        <w:trPr>
          <w:trHeight w:val="568"/>
          <w:jc w:val="center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Studenti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1.909.601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27.468.309,45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971.698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14.726.961,20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938.532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16.429.658,30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722.928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301" w:rsidRPr="00561B4A" w:rsidRDefault="00547301" w:rsidP="005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11.440.845,51</w:t>
            </w:r>
          </w:p>
        </w:tc>
      </w:tr>
    </w:tbl>
    <w:p w:rsidR="007250CB" w:rsidRPr="00561B4A" w:rsidRDefault="007250CB" w:rsidP="008D2845">
      <w:pPr>
        <w:spacing w:after="80"/>
        <w:rPr>
          <w:rFonts w:ascii="Times New Roman" w:hAnsi="Times New Roman" w:cs="Times New Roman"/>
          <w:b/>
          <w:bCs/>
          <w:i/>
          <w:iCs/>
        </w:rPr>
      </w:pPr>
    </w:p>
    <w:p w:rsidR="00C27E8B" w:rsidRPr="00561B4A" w:rsidRDefault="008D2845" w:rsidP="00377A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Buduće stanje: </w:t>
      </w:r>
      <w:r w:rsidR="000E653E" w:rsidRPr="00561B4A">
        <w:rPr>
          <w:rFonts w:ascii="Times New Roman" w:hAnsi="Times New Roman" w:cs="Times New Roman"/>
          <w:b/>
          <w:bCs/>
          <w:sz w:val="24"/>
          <w:szCs w:val="24"/>
        </w:rPr>
        <w:t>Pilot</w:t>
      </w:r>
      <w:r w:rsidR="0072624D" w:rsidRPr="00561B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653E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  <w:r w:rsidR="002C7961" w:rsidRPr="00561B4A">
        <w:rPr>
          <w:rFonts w:ascii="Times New Roman" w:hAnsi="Times New Roman" w:cs="Times New Roman"/>
          <w:b/>
          <w:bCs/>
          <w:sz w:val="24"/>
          <w:szCs w:val="24"/>
        </w:rPr>
        <w:t>povoljni</w:t>
      </w:r>
      <w:r w:rsidR="00DB1289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jega javnog željezničkog prijevoza studenata </w:t>
      </w:r>
      <w:r w:rsidR="000E653E" w:rsidRPr="00561B4A">
        <w:rPr>
          <w:rFonts w:ascii="Times New Roman" w:hAnsi="Times New Roman" w:cs="Times New Roman"/>
          <w:b/>
          <w:bCs/>
          <w:sz w:val="24"/>
          <w:szCs w:val="24"/>
        </w:rPr>
        <w:t>na području R</w:t>
      </w:r>
      <w:r w:rsidR="00CE4EE1">
        <w:rPr>
          <w:rFonts w:ascii="Times New Roman" w:hAnsi="Times New Roman" w:cs="Times New Roman"/>
          <w:b/>
          <w:bCs/>
          <w:sz w:val="24"/>
          <w:szCs w:val="24"/>
        </w:rPr>
        <w:t xml:space="preserve">epublike </w:t>
      </w:r>
      <w:r w:rsidR="000E653E" w:rsidRPr="00561B4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CE4EE1">
        <w:rPr>
          <w:rFonts w:ascii="Times New Roman" w:hAnsi="Times New Roman" w:cs="Times New Roman"/>
          <w:b/>
          <w:bCs/>
          <w:sz w:val="24"/>
          <w:szCs w:val="24"/>
        </w:rPr>
        <w:t>rvatske</w:t>
      </w:r>
    </w:p>
    <w:p w:rsidR="00C27E8B" w:rsidRPr="00561B4A" w:rsidRDefault="00C27E8B" w:rsidP="00C27E8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8B" w:rsidRPr="00561B4A" w:rsidRDefault="00753FCC" w:rsidP="0030062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Prema </w:t>
      </w:r>
      <w:r w:rsidR="00A85C85" w:rsidRPr="00561B4A">
        <w:rPr>
          <w:rFonts w:ascii="Times New Roman" w:hAnsi="Times New Roman" w:cs="Times New Roman"/>
          <w:sz w:val="24"/>
          <w:szCs w:val="24"/>
        </w:rPr>
        <w:t xml:space="preserve">podacima </w:t>
      </w:r>
      <w:r w:rsidRPr="00561B4A">
        <w:rPr>
          <w:rFonts w:ascii="Times New Roman" w:hAnsi="Times New Roman" w:cs="Times New Roman"/>
          <w:sz w:val="24"/>
          <w:szCs w:val="24"/>
        </w:rPr>
        <w:t>Državno</w:t>
      </w:r>
      <w:r w:rsidR="00A85C85" w:rsidRPr="00561B4A">
        <w:rPr>
          <w:rFonts w:ascii="Times New Roman" w:hAnsi="Times New Roman" w:cs="Times New Roman"/>
          <w:sz w:val="24"/>
          <w:szCs w:val="24"/>
        </w:rPr>
        <w:t>g</w:t>
      </w:r>
      <w:r w:rsidRPr="00561B4A">
        <w:rPr>
          <w:rFonts w:ascii="Times New Roman" w:hAnsi="Times New Roman" w:cs="Times New Roman"/>
          <w:sz w:val="24"/>
          <w:szCs w:val="24"/>
        </w:rPr>
        <w:t xml:space="preserve"> zavod</w:t>
      </w:r>
      <w:r w:rsidR="00A85C85" w:rsidRPr="00561B4A">
        <w:rPr>
          <w:rFonts w:ascii="Times New Roman" w:hAnsi="Times New Roman" w:cs="Times New Roman"/>
          <w:sz w:val="24"/>
          <w:szCs w:val="24"/>
        </w:rPr>
        <w:t>a</w:t>
      </w:r>
      <w:r w:rsidRPr="00561B4A">
        <w:rPr>
          <w:rFonts w:ascii="Times New Roman" w:hAnsi="Times New Roman" w:cs="Times New Roman"/>
          <w:sz w:val="24"/>
          <w:szCs w:val="24"/>
        </w:rPr>
        <w:t xml:space="preserve"> za statistiku u zimskom semestru akademske godine </w:t>
      </w:r>
      <w:r w:rsidR="00591F3E" w:rsidRPr="00561B4A">
        <w:rPr>
          <w:rFonts w:ascii="Times New Roman" w:hAnsi="Times New Roman" w:cs="Times New Roman"/>
          <w:sz w:val="24"/>
          <w:szCs w:val="24"/>
        </w:rPr>
        <w:t>2020/2021</w:t>
      </w:r>
      <w:r w:rsidR="00333613" w:rsidRPr="00561B4A">
        <w:rPr>
          <w:rFonts w:ascii="Times New Roman" w:hAnsi="Times New Roman" w:cs="Times New Roman"/>
          <w:sz w:val="24"/>
          <w:szCs w:val="24"/>
        </w:rPr>
        <w:t>.</w:t>
      </w:r>
      <w:r w:rsidR="00591F3E"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Pr="00561B4A">
        <w:rPr>
          <w:rFonts w:ascii="Times New Roman" w:hAnsi="Times New Roman" w:cs="Times New Roman"/>
          <w:sz w:val="24"/>
          <w:szCs w:val="24"/>
        </w:rPr>
        <w:t xml:space="preserve">na visoka učilišta u Republici Hrvatskoj </w:t>
      </w:r>
      <w:r w:rsidR="006A739B" w:rsidRPr="00561B4A">
        <w:rPr>
          <w:rFonts w:ascii="Times New Roman" w:hAnsi="Times New Roman" w:cs="Times New Roman"/>
          <w:sz w:val="24"/>
          <w:szCs w:val="24"/>
        </w:rPr>
        <w:t xml:space="preserve">bilo je </w:t>
      </w:r>
      <w:r w:rsidRPr="00561B4A">
        <w:rPr>
          <w:rFonts w:ascii="Times New Roman" w:hAnsi="Times New Roman" w:cs="Times New Roman"/>
          <w:sz w:val="24"/>
          <w:szCs w:val="24"/>
        </w:rPr>
        <w:t xml:space="preserve">upisano </w:t>
      </w:r>
      <w:r w:rsidR="00591F3E" w:rsidRPr="00561B4A">
        <w:rPr>
          <w:rFonts w:ascii="Times New Roman" w:hAnsi="Times New Roman" w:cs="Times New Roman"/>
          <w:sz w:val="24"/>
          <w:szCs w:val="24"/>
        </w:rPr>
        <w:t>155.627 studenata</w:t>
      </w:r>
      <w:r w:rsidR="00A85C85" w:rsidRPr="00561B4A">
        <w:rPr>
          <w:rFonts w:ascii="Times New Roman" w:hAnsi="Times New Roman" w:cs="Times New Roman"/>
          <w:sz w:val="24"/>
          <w:szCs w:val="24"/>
        </w:rPr>
        <w:t>,</w:t>
      </w:r>
      <w:r w:rsidR="00C20D1F" w:rsidRPr="00561B4A">
        <w:rPr>
          <w:rFonts w:ascii="Times New Roman" w:hAnsi="Times New Roman" w:cs="Times New Roman"/>
          <w:sz w:val="24"/>
          <w:szCs w:val="24"/>
        </w:rPr>
        <w:t xml:space="preserve"> od čega </w:t>
      </w:r>
      <w:r w:rsidR="00A85C85" w:rsidRPr="00561B4A">
        <w:rPr>
          <w:rFonts w:ascii="Times New Roman" w:hAnsi="Times New Roman" w:cs="Times New Roman"/>
          <w:sz w:val="24"/>
          <w:szCs w:val="24"/>
        </w:rPr>
        <w:t xml:space="preserve">ih </w:t>
      </w:r>
      <w:r w:rsidR="00C20D1F" w:rsidRPr="00561B4A">
        <w:rPr>
          <w:rFonts w:ascii="Times New Roman" w:hAnsi="Times New Roman" w:cs="Times New Roman"/>
          <w:sz w:val="24"/>
          <w:szCs w:val="24"/>
        </w:rPr>
        <w:t xml:space="preserve">je 112.728 </w:t>
      </w:r>
      <w:r w:rsidR="00307F96" w:rsidRPr="00561B4A">
        <w:rPr>
          <w:rFonts w:ascii="Times New Roman" w:hAnsi="Times New Roman" w:cs="Times New Roman"/>
          <w:sz w:val="24"/>
          <w:szCs w:val="24"/>
        </w:rPr>
        <w:t xml:space="preserve">bilo </w:t>
      </w:r>
      <w:r w:rsidR="00C20D1F" w:rsidRPr="00561B4A">
        <w:rPr>
          <w:rFonts w:ascii="Times New Roman" w:hAnsi="Times New Roman" w:cs="Times New Roman"/>
          <w:sz w:val="24"/>
          <w:szCs w:val="24"/>
        </w:rPr>
        <w:t>redov</w:t>
      </w:r>
      <w:r w:rsidR="00A85C85" w:rsidRPr="00561B4A">
        <w:rPr>
          <w:rFonts w:ascii="Times New Roman" w:hAnsi="Times New Roman" w:cs="Times New Roman"/>
          <w:sz w:val="24"/>
          <w:szCs w:val="24"/>
        </w:rPr>
        <w:t xml:space="preserve">nih. </w:t>
      </w:r>
      <w:r w:rsidR="001039C5" w:rsidRPr="00561B4A">
        <w:rPr>
          <w:rFonts w:ascii="Times New Roman" w:hAnsi="Times New Roman" w:cs="Times New Roman"/>
          <w:sz w:val="24"/>
          <w:szCs w:val="24"/>
        </w:rPr>
        <w:t>U Hrvatskoj trenut</w:t>
      </w:r>
      <w:r w:rsidR="00A85C85" w:rsidRPr="00561B4A">
        <w:rPr>
          <w:rFonts w:ascii="Times New Roman" w:hAnsi="Times New Roman" w:cs="Times New Roman"/>
          <w:sz w:val="24"/>
          <w:szCs w:val="24"/>
        </w:rPr>
        <w:t>ač</w:t>
      </w:r>
      <w:r w:rsidR="001039C5" w:rsidRPr="00561B4A">
        <w:rPr>
          <w:rFonts w:ascii="Times New Roman" w:hAnsi="Times New Roman" w:cs="Times New Roman"/>
          <w:sz w:val="24"/>
          <w:szCs w:val="24"/>
        </w:rPr>
        <w:t>no ima</w:t>
      </w:r>
      <w:r w:rsidR="00591F3E" w:rsidRPr="00561B4A">
        <w:rPr>
          <w:rFonts w:ascii="Times New Roman" w:hAnsi="Times New Roman" w:cs="Times New Roman"/>
          <w:sz w:val="24"/>
          <w:szCs w:val="24"/>
        </w:rPr>
        <w:t xml:space="preserve"> 131 visoko učilište</w:t>
      </w:r>
      <w:r w:rsidR="00932022" w:rsidRPr="00561B4A">
        <w:rPr>
          <w:rFonts w:ascii="Times New Roman" w:hAnsi="Times New Roman" w:cs="Times New Roman"/>
          <w:sz w:val="24"/>
          <w:szCs w:val="24"/>
        </w:rPr>
        <w:t>. Visoka učilišta nalaze se u 27 gradova, a najviše ih je u Zagrebu (49), Splitu (19)</w:t>
      </w:r>
      <w:r w:rsidR="00E610DC" w:rsidRPr="00561B4A">
        <w:rPr>
          <w:rFonts w:ascii="Times New Roman" w:hAnsi="Times New Roman" w:cs="Times New Roman"/>
          <w:sz w:val="24"/>
          <w:szCs w:val="24"/>
        </w:rPr>
        <w:t>, Osijeku (18) i Rijeci (18).</w:t>
      </w:r>
    </w:p>
    <w:p w:rsidR="0072624D" w:rsidRPr="00561B4A" w:rsidRDefault="0072624D" w:rsidP="007262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Ciljna skupina i opseg projekta</w:t>
      </w:r>
    </w:p>
    <w:p w:rsidR="00291BF6" w:rsidRPr="00561B4A" w:rsidRDefault="0072624D" w:rsidP="0072624D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Pilot-projekt omogućio </w:t>
      </w:r>
      <w:r w:rsidR="00333613" w:rsidRPr="00561B4A">
        <w:rPr>
          <w:rFonts w:ascii="Times New Roman" w:hAnsi="Times New Roman" w:cs="Times New Roman"/>
          <w:sz w:val="24"/>
          <w:szCs w:val="24"/>
        </w:rPr>
        <w:t xml:space="preserve">bi </w:t>
      </w:r>
      <w:r w:rsidRPr="00561B4A">
        <w:rPr>
          <w:rFonts w:ascii="Times New Roman" w:hAnsi="Times New Roman" w:cs="Times New Roman"/>
          <w:sz w:val="24"/>
          <w:szCs w:val="24"/>
        </w:rPr>
        <w:t xml:space="preserve">neograničeno korištenje </w:t>
      </w:r>
      <w:r w:rsidR="00DB1289" w:rsidRPr="00561B4A">
        <w:rPr>
          <w:rFonts w:ascii="Times New Roman" w:hAnsi="Times New Roman" w:cs="Times New Roman"/>
          <w:sz w:val="24"/>
          <w:szCs w:val="24"/>
        </w:rPr>
        <w:t xml:space="preserve">željezničkog </w:t>
      </w:r>
      <w:r w:rsidRPr="00561B4A">
        <w:rPr>
          <w:rFonts w:ascii="Times New Roman" w:hAnsi="Times New Roman" w:cs="Times New Roman"/>
          <w:sz w:val="24"/>
          <w:szCs w:val="24"/>
        </w:rPr>
        <w:t xml:space="preserve">prijevoza za 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oko 1</w:t>
      </w:r>
      <w:r w:rsidR="00C20D1F" w:rsidRPr="00561B4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.000 redov</w:t>
      </w:r>
      <w:r w:rsidR="00A85C85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nih 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studenata</w:t>
      </w:r>
      <w:r w:rsidRPr="00561B4A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CE4EE1" w:rsidRPr="00CE4EE1">
        <w:rPr>
          <w:rFonts w:ascii="Times New Roman" w:hAnsi="Times New Roman" w:cs="Times New Roman"/>
          <w:sz w:val="24"/>
          <w:szCs w:val="24"/>
        </w:rPr>
        <w:t>Republike Hrvatske</w:t>
      </w:r>
      <w:r w:rsidRPr="00561B4A">
        <w:rPr>
          <w:rFonts w:ascii="Times New Roman" w:hAnsi="Times New Roman" w:cs="Times New Roman"/>
          <w:sz w:val="24"/>
          <w:szCs w:val="24"/>
        </w:rPr>
        <w:t xml:space="preserve">. Studenti će moći putovati vlakom po jedinstvenoj cijeni od </w:t>
      </w:r>
      <w:r w:rsidR="00C20D1F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75 kuna ili 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10 eura za mjesečnu kartu</w:t>
      </w:r>
      <w:r w:rsidRPr="00561B4A">
        <w:rPr>
          <w:rFonts w:ascii="Times New Roman" w:hAnsi="Times New Roman" w:cs="Times New Roman"/>
          <w:sz w:val="24"/>
          <w:szCs w:val="24"/>
        </w:rPr>
        <w:t>. Studenti će kartu moći koristiti za svakodnevn</w:t>
      </w:r>
      <w:r w:rsidR="00E31386" w:rsidRPr="00561B4A">
        <w:rPr>
          <w:rFonts w:ascii="Times New Roman" w:hAnsi="Times New Roman" w:cs="Times New Roman"/>
          <w:sz w:val="24"/>
          <w:szCs w:val="24"/>
        </w:rPr>
        <w:t xml:space="preserve">e odlaske </w:t>
      </w:r>
      <w:r w:rsidRPr="00561B4A">
        <w:rPr>
          <w:rFonts w:ascii="Times New Roman" w:hAnsi="Times New Roman" w:cs="Times New Roman"/>
          <w:sz w:val="24"/>
          <w:szCs w:val="24"/>
        </w:rPr>
        <w:t>na studij ili povremena putovanja</w:t>
      </w:r>
      <w:r w:rsidR="006E6223" w:rsidRPr="00561B4A">
        <w:rPr>
          <w:rFonts w:ascii="Times New Roman" w:hAnsi="Times New Roman" w:cs="Times New Roman"/>
          <w:sz w:val="24"/>
          <w:szCs w:val="24"/>
        </w:rPr>
        <w:t xml:space="preserve">. </w:t>
      </w:r>
      <w:r w:rsidR="00AC7640" w:rsidRPr="00561B4A">
        <w:rPr>
          <w:rFonts w:ascii="Times New Roman" w:hAnsi="Times New Roman" w:cs="Times New Roman"/>
          <w:sz w:val="24"/>
          <w:szCs w:val="24"/>
        </w:rPr>
        <w:t xml:space="preserve">Pilot-projekt </w:t>
      </w:r>
      <w:r w:rsidR="00E31386" w:rsidRPr="00561B4A">
        <w:rPr>
          <w:rFonts w:ascii="Times New Roman" w:hAnsi="Times New Roman" w:cs="Times New Roman"/>
          <w:sz w:val="24"/>
          <w:szCs w:val="24"/>
        </w:rPr>
        <w:t xml:space="preserve">provodio bi se </w:t>
      </w:r>
      <w:r w:rsidR="00DA7432" w:rsidRPr="00561B4A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AC7640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432" w:rsidRPr="00561B4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D79F1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432" w:rsidRPr="00561B4A">
        <w:rPr>
          <w:rFonts w:ascii="Times New Roman" w:hAnsi="Times New Roman" w:cs="Times New Roman"/>
          <w:b/>
          <w:bCs/>
          <w:sz w:val="24"/>
          <w:szCs w:val="24"/>
        </w:rPr>
        <w:t>listopada 2022</w:t>
      </w:r>
      <w:r w:rsidR="00E31386" w:rsidRPr="00561B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7432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 do 30.</w:t>
      </w:r>
      <w:r w:rsidR="004D79F1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432" w:rsidRPr="00561B4A">
        <w:rPr>
          <w:rFonts w:ascii="Times New Roman" w:hAnsi="Times New Roman" w:cs="Times New Roman"/>
          <w:b/>
          <w:bCs/>
          <w:sz w:val="24"/>
          <w:szCs w:val="24"/>
        </w:rPr>
        <w:t>rujna 2023. god</w:t>
      </w:r>
      <w:r w:rsidR="004D79F1" w:rsidRPr="00561B4A">
        <w:rPr>
          <w:rFonts w:ascii="Times New Roman" w:hAnsi="Times New Roman" w:cs="Times New Roman"/>
          <w:b/>
          <w:bCs/>
          <w:sz w:val="24"/>
          <w:szCs w:val="24"/>
        </w:rPr>
        <w:t>ine</w:t>
      </w:r>
      <w:r w:rsidR="004D79F1" w:rsidRPr="00561B4A">
        <w:rPr>
          <w:rFonts w:ascii="Times New Roman" w:hAnsi="Times New Roman" w:cs="Times New Roman"/>
          <w:sz w:val="24"/>
          <w:szCs w:val="24"/>
        </w:rPr>
        <w:t>.</w:t>
      </w:r>
    </w:p>
    <w:p w:rsidR="00893A3A" w:rsidRPr="00561B4A" w:rsidRDefault="007F2CF0" w:rsidP="00300623">
      <w:pPr>
        <w:pStyle w:val="Odlomakpopisa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Ciljevi projekta</w:t>
      </w:r>
    </w:p>
    <w:p w:rsidR="007F2CF0" w:rsidRPr="00561B4A" w:rsidRDefault="00EB7C0B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osigurati</w:t>
      </w:r>
      <w:r w:rsidR="007F2CF0" w:rsidRPr="00561B4A">
        <w:rPr>
          <w:rFonts w:ascii="Times New Roman" w:hAnsi="Times New Roman" w:cs="Times New Roman"/>
          <w:sz w:val="24"/>
          <w:szCs w:val="24"/>
        </w:rPr>
        <w:t xml:space="preserve"> mogućnost neograničenog broja povoljnih putovanja </w:t>
      </w:r>
      <w:r w:rsidR="00333613" w:rsidRPr="00561B4A">
        <w:rPr>
          <w:rFonts w:ascii="Times New Roman" w:hAnsi="Times New Roman" w:cs="Times New Roman"/>
          <w:sz w:val="24"/>
          <w:szCs w:val="24"/>
        </w:rPr>
        <w:t>redov</w:t>
      </w:r>
      <w:r w:rsidR="00E31386" w:rsidRPr="00561B4A">
        <w:rPr>
          <w:rFonts w:ascii="Times New Roman" w:hAnsi="Times New Roman" w:cs="Times New Roman"/>
          <w:sz w:val="24"/>
          <w:szCs w:val="24"/>
        </w:rPr>
        <w:t xml:space="preserve">nih </w:t>
      </w:r>
      <w:r w:rsidR="007F2CF0" w:rsidRPr="00561B4A">
        <w:rPr>
          <w:rFonts w:ascii="Times New Roman" w:hAnsi="Times New Roman" w:cs="Times New Roman"/>
          <w:sz w:val="24"/>
          <w:szCs w:val="24"/>
        </w:rPr>
        <w:t xml:space="preserve">studenata </w:t>
      </w:r>
    </w:p>
    <w:p w:rsidR="007F2CF0" w:rsidRPr="00561B4A" w:rsidRDefault="00EB7C0B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povećati</w:t>
      </w:r>
      <w:r w:rsidR="007F2CF0" w:rsidRPr="00561B4A">
        <w:rPr>
          <w:rFonts w:ascii="Times New Roman" w:hAnsi="Times New Roman" w:cs="Times New Roman"/>
          <w:sz w:val="24"/>
          <w:szCs w:val="24"/>
        </w:rPr>
        <w:t xml:space="preserve"> mobilnost studenata</w:t>
      </w:r>
    </w:p>
    <w:p w:rsidR="007F2CF0" w:rsidRPr="00561B4A" w:rsidRDefault="00EB7C0B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utjecati</w:t>
      </w:r>
      <w:r w:rsidR="007F2CF0" w:rsidRPr="00561B4A">
        <w:rPr>
          <w:rFonts w:ascii="Times New Roman" w:hAnsi="Times New Roman" w:cs="Times New Roman"/>
          <w:sz w:val="24"/>
          <w:szCs w:val="24"/>
        </w:rPr>
        <w:t xml:space="preserve"> na smanjenje </w:t>
      </w:r>
      <w:r w:rsidR="005F574B" w:rsidRPr="00561B4A">
        <w:rPr>
          <w:rFonts w:ascii="Times New Roman" w:hAnsi="Times New Roman" w:cs="Times New Roman"/>
          <w:sz w:val="24"/>
          <w:szCs w:val="24"/>
        </w:rPr>
        <w:t xml:space="preserve">iseljavanja stanovništva s ruralnih područja te </w:t>
      </w:r>
      <w:r w:rsidR="00346C71" w:rsidRPr="00561B4A">
        <w:rPr>
          <w:rFonts w:ascii="Times New Roman" w:hAnsi="Times New Roman" w:cs="Times New Roman"/>
          <w:sz w:val="24"/>
          <w:szCs w:val="24"/>
        </w:rPr>
        <w:t>poduprijeti demografsku obnovu ruralnih i ostalih područja R</w:t>
      </w:r>
      <w:r w:rsidR="007D0132">
        <w:rPr>
          <w:rFonts w:ascii="Times New Roman" w:hAnsi="Times New Roman" w:cs="Times New Roman"/>
          <w:sz w:val="24"/>
          <w:szCs w:val="24"/>
        </w:rPr>
        <w:t xml:space="preserve">epublike </w:t>
      </w:r>
      <w:r w:rsidR="00346C71" w:rsidRPr="00561B4A">
        <w:rPr>
          <w:rFonts w:ascii="Times New Roman" w:hAnsi="Times New Roman" w:cs="Times New Roman"/>
          <w:sz w:val="24"/>
          <w:szCs w:val="24"/>
        </w:rPr>
        <w:t>H</w:t>
      </w:r>
      <w:r w:rsidR="007D0132">
        <w:rPr>
          <w:rFonts w:ascii="Times New Roman" w:hAnsi="Times New Roman" w:cs="Times New Roman"/>
          <w:sz w:val="24"/>
          <w:szCs w:val="24"/>
        </w:rPr>
        <w:t>rvatske</w:t>
      </w:r>
    </w:p>
    <w:p w:rsidR="008E274B" w:rsidRPr="00561B4A" w:rsidRDefault="008E274B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poboljšati životni standard građana </w:t>
      </w:r>
    </w:p>
    <w:p w:rsidR="008E274B" w:rsidRPr="00561B4A" w:rsidRDefault="008E274B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revitalizirati promet putničkih vlakova </w:t>
      </w:r>
      <w:r w:rsidR="00CC3F51" w:rsidRPr="00561B4A">
        <w:rPr>
          <w:rFonts w:ascii="Times New Roman" w:hAnsi="Times New Roman" w:cs="Times New Roman"/>
          <w:sz w:val="24"/>
          <w:szCs w:val="24"/>
        </w:rPr>
        <w:t xml:space="preserve">osobito </w:t>
      </w:r>
      <w:r w:rsidR="00221600" w:rsidRPr="00561B4A">
        <w:rPr>
          <w:rFonts w:ascii="Times New Roman" w:hAnsi="Times New Roman" w:cs="Times New Roman"/>
          <w:sz w:val="24"/>
          <w:szCs w:val="24"/>
        </w:rPr>
        <w:t>na</w:t>
      </w:r>
      <w:r w:rsidR="00CC3F51" w:rsidRPr="00561B4A">
        <w:rPr>
          <w:rFonts w:ascii="Times New Roman" w:hAnsi="Times New Roman" w:cs="Times New Roman"/>
          <w:sz w:val="24"/>
          <w:szCs w:val="24"/>
        </w:rPr>
        <w:t xml:space="preserve"> manje razvijenim područjima R</w:t>
      </w:r>
      <w:r w:rsidR="000B43EA">
        <w:rPr>
          <w:rFonts w:ascii="Times New Roman" w:hAnsi="Times New Roman" w:cs="Times New Roman"/>
          <w:sz w:val="24"/>
          <w:szCs w:val="24"/>
        </w:rPr>
        <w:t xml:space="preserve">epublike </w:t>
      </w:r>
      <w:r w:rsidR="00CC3F51" w:rsidRPr="00561B4A">
        <w:rPr>
          <w:rFonts w:ascii="Times New Roman" w:hAnsi="Times New Roman" w:cs="Times New Roman"/>
          <w:sz w:val="24"/>
          <w:szCs w:val="24"/>
        </w:rPr>
        <w:t>H</w:t>
      </w:r>
      <w:r w:rsidR="000B43EA">
        <w:rPr>
          <w:rFonts w:ascii="Times New Roman" w:hAnsi="Times New Roman" w:cs="Times New Roman"/>
          <w:sz w:val="24"/>
          <w:szCs w:val="24"/>
        </w:rPr>
        <w:t>rvatske</w:t>
      </w:r>
      <w:r w:rsidR="00CC3F51" w:rsidRPr="00561B4A">
        <w:rPr>
          <w:rFonts w:ascii="Times New Roman" w:hAnsi="Times New Roman" w:cs="Times New Roman"/>
          <w:sz w:val="24"/>
          <w:szCs w:val="24"/>
        </w:rPr>
        <w:t xml:space="preserve"> poticanjem korištenja željezničkog prijevoza</w:t>
      </w:r>
    </w:p>
    <w:p w:rsidR="0072533D" w:rsidRPr="00561B4A" w:rsidRDefault="0072533D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poticati razvoj i uvođenje integriranog prijevoza putnika u skladu s </w:t>
      </w:r>
      <w:proofErr w:type="spellStart"/>
      <w:r w:rsidR="00221600" w:rsidRPr="00561B4A">
        <w:rPr>
          <w:rFonts w:ascii="Times New Roman" w:hAnsi="Times New Roman" w:cs="Times New Roman"/>
          <w:sz w:val="24"/>
          <w:szCs w:val="24"/>
        </w:rPr>
        <w:t>m</w:t>
      </w:r>
      <w:r w:rsidRPr="00561B4A">
        <w:rPr>
          <w:rFonts w:ascii="Times New Roman" w:hAnsi="Times New Roman" w:cs="Times New Roman"/>
          <w:sz w:val="24"/>
          <w:szCs w:val="24"/>
        </w:rPr>
        <w:t>aster</w:t>
      </w:r>
      <w:proofErr w:type="spellEnd"/>
      <w:r w:rsidRPr="00561B4A">
        <w:rPr>
          <w:rFonts w:ascii="Times New Roman" w:hAnsi="Times New Roman" w:cs="Times New Roman"/>
          <w:sz w:val="24"/>
          <w:szCs w:val="24"/>
        </w:rPr>
        <w:t xml:space="preserve"> planovima funkcionalnih regija Republike Hrvatske</w:t>
      </w:r>
    </w:p>
    <w:p w:rsidR="0072533D" w:rsidRPr="00561B4A" w:rsidRDefault="0072533D" w:rsidP="007F2CF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smanjiti emisije štetnih plinova u okoliš.</w:t>
      </w:r>
    </w:p>
    <w:p w:rsidR="003668E6" w:rsidRPr="00561B4A" w:rsidRDefault="003668E6" w:rsidP="0072533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Potrebna financijska sredstva i izvori financiranja</w:t>
      </w:r>
    </w:p>
    <w:p w:rsidR="00923657" w:rsidRPr="00893B34" w:rsidRDefault="00D01DF5" w:rsidP="00835D82">
      <w:pPr>
        <w:pStyle w:val="Odlomakpopisa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Trošak provedbe ovog p</w:t>
      </w:r>
      <w:r w:rsidR="00276401" w:rsidRPr="00893B34">
        <w:rPr>
          <w:rFonts w:ascii="Times New Roman" w:hAnsi="Times New Roman" w:cs="Times New Roman"/>
          <w:iCs/>
          <w:sz w:val="24"/>
          <w:szCs w:val="24"/>
        </w:rPr>
        <w:t>ilot-projekta u značajnoj mjeri ovisit će o broju korisnika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>.</w:t>
      </w:r>
      <w:r w:rsidR="00276401" w:rsidRPr="00893B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 xml:space="preserve">Prema pokazateljima za prvih </w:t>
      </w:r>
      <w:r w:rsidR="00CE4EE1">
        <w:rPr>
          <w:rFonts w:ascii="Times New Roman" w:hAnsi="Times New Roman" w:cs="Times New Roman"/>
          <w:iCs/>
          <w:sz w:val="24"/>
          <w:szCs w:val="24"/>
        </w:rPr>
        <w:t>šest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 xml:space="preserve"> mjeseci ove godine vidljivo je da se studenti nakon </w:t>
      </w:r>
      <w:proofErr w:type="spellStart"/>
      <w:r w:rsidR="00835D82" w:rsidRPr="00893B34">
        <w:rPr>
          <w:rFonts w:ascii="Times New Roman" w:hAnsi="Times New Roman" w:cs="Times New Roman"/>
          <w:iCs/>
          <w:sz w:val="24"/>
          <w:szCs w:val="24"/>
        </w:rPr>
        <w:t>pandemije</w:t>
      </w:r>
      <w:proofErr w:type="spellEnd"/>
      <w:r w:rsidR="00835D82" w:rsidRPr="00893B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4EE1">
        <w:rPr>
          <w:rFonts w:ascii="Times New Roman" w:hAnsi="Times New Roman" w:cs="Times New Roman"/>
          <w:iCs/>
          <w:sz w:val="24"/>
          <w:szCs w:val="24"/>
        </w:rPr>
        <w:t>bolesti C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>ovida-19 vraćaju na predavanja u obrazovne ustanove, pri čemu ponovno koriste i željeznički prijevoz</w:t>
      </w:r>
      <w:r w:rsidR="00893B34" w:rsidRPr="00893B34">
        <w:rPr>
          <w:rFonts w:ascii="Times New Roman" w:hAnsi="Times New Roman" w:cs="Times New Roman"/>
          <w:iCs/>
          <w:sz w:val="24"/>
          <w:szCs w:val="24"/>
        </w:rPr>
        <w:t>.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 xml:space="preserve"> U tom smislu, uvažavajući činjenicu</w:t>
      </w:r>
      <w:r w:rsidR="00276401" w:rsidRPr="00893B34">
        <w:rPr>
          <w:rFonts w:ascii="Times New Roman" w:hAnsi="Times New Roman" w:cs="Times New Roman"/>
          <w:iCs/>
          <w:sz w:val="24"/>
          <w:szCs w:val="24"/>
        </w:rPr>
        <w:t xml:space="preserve"> da se uvodi značajno povoljnija cijena mjesečne karte za studente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>,</w:t>
      </w:r>
      <w:r w:rsidR="00276401" w:rsidRPr="00893B34">
        <w:rPr>
          <w:rFonts w:ascii="Times New Roman" w:hAnsi="Times New Roman" w:cs="Times New Roman"/>
          <w:iCs/>
          <w:sz w:val="24"/>
          <w:szCs w:val="24"/>
        </w:rPr>
        <w:t xml:space="preserve"> očekuje se signifik</w:t>
      </w:r>
      <w:r w:rsidR="00893B34">
        <w:rPr>
          <w:rFonts w:ascii="Times New Roman" w:hAnsi="Times New Roman" w:cs="Times New Roman"/>
          <w:iCs/>
          <w:sz w:val="24"/>
          <w:szCs w:val="24"/>
        </w:rPr>
        <w:t xml:space="preserve">antno povećanje broja korisnika </w:t>
      </w:r>
      <w:r w:rsidR="00276401" w:rsidRPr="00893B34">
        <w:rPr>
          <w:rFonts w:ascii="Times New Roman" w:hAnsi="Times New Roman" w:cs="Times New Roman"/>
          <w:iCs/>
          <w:sz w:val="24"/>
          <w:szCs w:val="24"/>
        </w:rPr>
        <w:t xml:space="preserve">te se procjenjuje da </w:t>
      </w:r>
      <w:r w:rsidR="00835D82" w:rsidRPr="00893B34">
        <w:rPr>
          <w:rFonts w:ascii="Times New Roman" w:hAnsi="Times New Roman" w:cs="Times New Roman"/>
          <w:iCs/>
          <w:sz w:val="24"/>
          <w:szCs w:val="24"/>
        </w:rPr>
        <w:t xml:space="preserve">trošak provedbe ne </w:t>
      </w:r>
      <w:r w:rsidR="00276401" w:rsidRPr="00893B34">
        <w:rPr>
          <w:rFonts w:ascii="Times New Roman" w:hAnsi="Times New Roman" w:cs="Times New Roman"/>
          <w:iCs/>
          <w:sz w:val="24"/>
          <w:szCs w:val="24"/>
        </w:rPr>
        <w:t xml:space="preserve">bi trebao biti veći od 5.000.000,00 kn </w:t>
      </w:r>
      <w:r>
        <w:rPr>
          <w:rFonts w:ascii="Times New Roman" w:hAnsi="Times New Roman" w:cs="Times New Roman"/>
          <w:iCs/>
          <w:sz w:val="24"/>
          <w:szCs w:val="24"/>
        </w:rPr>
        <w:t xml:space="preserve">za cijelo vrijeme trajanja </w:t>
      </w:r>
      <w:r w:rsidRPr="00D01DF5">
        <w:rPr>
          <w:rFonts w:ascii="Times New Roman" w:hAnsi="Times New Roman" w:cs="Times New Roman"/>
          <w:iCs/>
          <w:sz w:val="24"/>
          <w:szCs w:val="24"/>
        </w:rPr>
        <w:t>pilot-projekta</w:t>
      </w:r>
      <w:bookmarkStart w:id="0" w:name="_GoBack"/>
      <w:bookmarkEnd w:id="0"/>
      <w:r w:rsidR="00835D82" w:rsidRPr="00893B3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23657" w:rsidRPr="00835D82">
        <w:rPr>
          <w:rFonts w:ascii="Times New Roman" w:hAnsi="Times New Roman" w:cs="Times New Roman"/>
          <w:iCs/>
          <w:sz w:val="24"/>
          <w:szCs w:val="24"/>
        </w:rPr>
        <w:t>Sredstva će se isplaćivati društvu HŽ Putnički prijevoz u okviru izračuna razlike prihoda i troškova sukladno Ugovoru br. 1/2019/DP-HŽPP o javnim uslugama za usluge od općeg gospodarskog interesa u javnom željezničkom prijevozu u Republici Hrvatskoj – PSO ugovor, a bit će osigurana u Državnom proračunu Republike Hrvatske na aktivnosti A761011 Poticanje željezničkog putničkog prijevoza.</w:t>
      </w:r>
    </w:p>
    <w:p w:rsidR="00923657" w:rsidRPr="00835D82" w:rsidRDefault="00923657" w:rsidP="0072533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5D82">
        <w:rPr>
          <w:rFonts w:ascii="Times New Roman" w:hAnsi="Times New Roman" w:cs="Times New Roman"/>
          <w:iCs/>
          <w:sz w:val="24"/>
          <w:szCs w:val="24"/>
        </w:rPr>
        <w:t xml:space="preserve">Procjenjuje se da će za vrijeme trajanja projekta studenti ostvariti 1.6 milijuna putovanja. Procjena se bazira na 2019. godini obzirom da podatci iz 2020. nisu mjerodavni zbog </w:t>
      </w:r>
      <w:proofErr w:type="spellStart"/>
      <w:r w:rsidRPr="00835D82">
        <w:rPr>
          <w:rFonts w:ascii="Times New Roman" w:hAnsi="Times New Roman" w:cs="Times New Roman"/>
          <w:iCs/>
          <w:sz w:val="24"/>
          <w:szCs w:val="24"/>
        </w:rPr>
        <w:t>pandemije</w:t>
      </w:r>
      <w:proofErr w:type="spellEnd"/>
      <w:r w:rsidRPr="00835D82">
        <w:rPr>
          <w:rFonts w:ascii="Times New Roman" w:hAnsi="Times New Roman" w:cs="Times New Roman"/>
          <w:iCs/>
          <w:sz w:val="24"/>
          <w:szCs w:val="24"/>
        </w:rPr>
        <w:t xml:space="preserve"> bolesti Covid-19 i potpune obustave javnog prijevoza putnika u međunarodnom prometu od 17. ožujka do 21. lipnja, a u  unutarnjem prometu od 22. ožujka do 10. svibnja 2020. godine.</w:t>
      </w:r>
    </w:p>
    <w:p w:rsidR="00923657" w:rsidRPr="00835D82" w:rsidRDefault="00923657" w:rsidP="0072533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5D82">
        <w:rPr>
          <w:rFonts w:ascii="Times New Roman" w:hAnsi="Times New Roman" w:cs="Times New Roman"/>
          <w:iCs/>
          <w:sz w:val="24"/>
          <w:szCs w:val="24"/>
        </w:rPr>
        <w:t xml:space="preserve">U 2019. godini studenti su ostvarili 1.9 milijuna putovanja vlakom od čega je njih 38% koristilo mjesečnu kartu za svakodnevna putovanja </w:t>
      </w:r>
      <w:r w:rsidR="00B06732" w:rsidRPr="00835D82">
        <w:rPr>
          <w:rFonts w:ascii="Times New Roman" w:hAnsi="Times New Roman" w:cs="Times New Roman"/>
          <w:iCs/>
          <w:sz w:val="24"/>
          <w:szCs w:val="24"/>
        </w:rPr>
        <w:t xml:space="preserve">od mjesta stanovanja do obrazovnih ustanova. </w:t>
      </w:r>
      <w:r w:rsidR="00B06732" w:rsidRPr="00835D82">
        <w:rPr>
          <w:rFonts w:ascii="Times New Roman" w:hAnsi="Times New Roman" w:cs="Times New Roman"/>
          <w:iCs/>
          <w:sz w:val="24"/>
          <w:szCs w:val="24"/>
        </w:rPr>
        <w:lastRenderedPageBreak/>
        <w:t>Preostali studenti prijevoz vlakom koristili su za povremena putovanja koristeći pojedinačne prijevozne karte za odlazak na razna sportska i kulturna događanja, odlaske liječniku i ostalo.</w:t>
      </w:r>
    </w:p>
    <w:p w:rsidR="00B06732" w:rsidRPr="00835D82" w:rsidRDefault="00B06732" w:rsidP="0072533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5D82">
        <w:rPr>
          <w:rFonts w:ascii="Times New Roman" w:hAnsi="Times New Roman" w:cs="Times New Roman"/>
          <w:iCs/>
          <w:sz w:val="24"/>
          <w:szCs w:val="24"/>
        </w:rPr>
        <w:t xml:space="preserve">U 2020. godini ostvareno je 971.698 studentskih putovanja, a u 2021. godini 938.532 putovanja. U razdoblju I-VI 2022. godine ostvareno je 772.928 putovanja korištenjem 8.377 profila. Značajno odstupanje od pokazatelja u prethodne dvije godine uzrokovano je mjerama sprječavanja širenja </w:t>
      </w:r>
      <w:proofErr w:type="spellStart"/>
      <w:r w:rsidR="00CE4EE1" w:rsidRPr="00CE4EE1">
        <w:rPr>
          <w:rFonts w:ascii="Times New Roman" w:hAnsi="Times New Roman" w:cs="Times New Roman"/>
          <w:iCs/>
          <w:sz w:val="24"/>
          <w:szCs w:val="24"/>
        </w:rPr>
        <w:t>pandemije</w:t>
      </w:r>
      <w:proofErr w:type="spellEnd"/>
      <w:r w:rsidR="00CE4EE1" w:rsidRPr="00CE4EE1">
        <w:rPr>
          <w:rFonts w:ascii="Times New Roman" w:hAnsi="Times New Roman" w:cs="Times New Roman"/>
          <w:iCs/>
          <w:sz w:val="24"/>
          <w:szCs w:val="24"/>
        </w:rPr>
        <w:t xml:space="preserve"> bolesti Covid-19</w:t>
      </w:r>
      <w:r w:rsidRPr="00835D82">
        <w:rPr>
          <w:rFonts w:ascii="Times New Roman" w:hAnsi="Times New Roman" w:cs="Times New Roman"/>
          <w:iCs/>
          <w:sz w:val="24"/>
          <w:szCs w:val="24"/>
        </w:rPr>
        <w:t xml:space="preserve"> uslijed kojih se većim dijelom nastava u </w:t>
      </w:r>
      <w:r w:rsidR="00DD5BB3">
        <w:rPr>
          <w:rFonts w:ascii="Times New Roman" w:hAnsi="Times New Roman" w:cs="Times New Roman"/>
          <w:iCs/>
          <w:sz w:val="24"/>
          <w:szCs w:val="24"/>
        </w:rPr>
        <w:t xml:space="preserve">određenim periodima odvijala </w:t>
      </w:r>
      <w:r w:rsidR="00DD5BB3" w:rsidRPr="00DD5BB3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Pr="00DD5BB3">
        <w:rPr>
          <w:rFonts w:ascii="Times New Roman" w:hAnsi="Times New Roman" w:cs="Times New Roman"/>
          <w:i/>
          <w:iCs/>
          <w:sz w:val="24"/>
          <w:szCs w:val="24"/>
        </w:rPr>
        <w:t>line</w:t>
      </w:r>
      <w:r w:rsidRPr="00835D82">
        <w:rPr>
          <w:rFonts w:ascii="Times New Roman" w:hAnsi="Times New Roman" w:cs="Times New Roman"/>
          <w:iCs/>
          <w:sz w:val="24"/>
          <w:szCs w:val="24"/>
        </w:rPr>
        <w:t xml:space="preserve">, dok se procjena budućih putovanja vlakom planira u kontekstu redovnog obavljanja nastave u obrazovnim ustanovama. Stoga je prema dosadašnjim pokazateljima planirano da će do kraja godine broj realiziranih putovanja biti oko 1.5 milijuna, </w:t>
      </w:r>
      <w:r w:rsidR="00B82041">
        <w:rPr>
          <w:rFonts w:ascii="Times New Roman" w:hAnsi="Times New Roman" w:cs="Times New Roman"/>
          <w:iCs/>
          <w:sz w:val="24"/>
          <w:szCs w:val="24"/>
        </w:rPr>
        <w:t>a do kraja sl</w:t>
      </w:r>
      <w:r w:rsidR="007C6730" w:rsidRPr="00835D82">
        <w:rPr>
          <w:rFonts w:ascii="Times New Roman" w:hAnsi="Times New Roman" w:cs="Times New Roman"/>
          <w:iCs/>
          <w:sz w:val="24"/>
          <w:szCs w:val="24"/>
        </w:rPr>
        <w:t>jedeće godine 1.9 milijuna kao i 2019.</w:t>
      </w:r>
      <w:r w:rsidR="00B820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6730" w:rsidRPr="00835D82">
        <w:rPr>
          <w:rFonts w:ascii="Times New Roman" w:hAnsi="Times New Roman" w:cs="Times New Roman"/>
          <w:iCs/>
          <w:sz w:val="24"/>
          <w:szCs w:val="24"/>
        </w:rPr>
        <w:t>godine.</w:t>
      </w:r>
      <w:r w:rsidRPr="00835D8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23657" w:rsidRPr="00561B4A" w:rsidRDefault="00923657" w:rsidP="00725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E8B" w:rsidRPr="00561B4A" w:rsidRDefault="00C27E8B" w:rsidP="0030062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25C62" w:rsidRPr="00561B4A" w:rsidRDefault="00C27E8B" w:rsidP="0030062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Primjer iz prakse: </w:t>
      </w:r>
      <w:r w:rsidR="00921AE8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Pilot-projekt besplatnog javnog željezničkog prijevoza djece i učenika </w:t>
      </w:r>
      <w:r w:rsidR="00566472" w:rsidRPr="00561B4A">
        <w:rPr>
          <w:rFonts w:ascii="Times New Roman" w:hAnsi="Times New Roman" w:cs="Times New Roman"/>
          <w:b/>
          <w:bCs/>
          <w:sz w:val="24"/>
          <w:szCs w:val="24"/>
        </w:rPr>
        <w:t>osnovnih i srednjih škola na području Republike Hrvatske</w:t>
      </w:r>
    </w:p>
    <w:p w:rsidR="00566472" w:rsidRPr="00561B4A" w:rsidRDefault="00566472" w:rsidP="00300623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Pilot-projektom besplatnog javnog željezničkog prijevoza djece i učenika osnovnih i srednjih škola na području Republike Hrvatske</w:t>
      </w:r>
      <w:r w:rsidR="00CE184D" w:rsidRPr="00561B4A">
        <w:rPr>
          <w:rFonts w:ascii="Times New Roman" w:hAnsi="Times New Roman" w:cs="Times New Roman"/>
          <w:sz w:val="24"/>
          <w:szCs w:val="24"/>
        </w:rPr>
        <w:t xml:space="preserve"> uveden je besplatn</w:t>
      </w:r>
      <w:r w:rsidR="007706E8" w:rsidRPr="00561B4A">
        <w:rPr>
          <w:rFonts w:ascii="Times New Roman" w:hAnsi="Times New Roman" w:cs="Times New Roman"/>
          <w:sz w:val="24"/>
          <w:szCs w:val="24"/>
        </w:rPr>
        <w:t>i</w:t>
      </w:r>
      <w:r w:rsidR="00CE184D" w:rsidRPr="00561B4A">
        <w:rPr>
          <w:rFonts w:ascii="Times New Roman" w:hAnsi="Times New Roman" w:cs="Times New Roman"/>
          <w:sz w:val="24"/>
          <w:szCs w:val="24"/>
        </w:rPr>
        <w:t xml:space="preserve"> prijevoz vlakom za djecu i učenike osnovnih i srednjih škola </w:t>
      </w:r>
      <w:r w:rsidR="008611AC" w:rsidRPr="00561B4A">
        <w:rPr>
          <w:rFonts w:ascii="Times New Roman" w:hAnsi="Times New Roman" w:cs="Times New Roman"/>
          <w:sz w:val="24"/>
          <w:szCs w:val="24"/>
        </w:rPr>
        <w:t>na području R</w:t>
      </w:r>
      <w:r w:rsidR="003E1689">
        <w:rPr>
          <w:rFonts w:ascii="Times New Roman" w:hAnsi="Times New Roman" w:cs="Times New Roman"/>
          <w:sz w:val="24"/>
          <w:szCs w:val="24"/>
        </w:rPr>
        <w:t xml:space="preserve">epublike </w:t>
      </w:r>
      <w:r w:rsidR="008611AC" w:rsidRPr="00561B4A">
        <w:rPr>
          <w:rFonts w:ascii="Times New Roman" w:hAnsi="Times New Roman" w:cs="Times New Roman"/>
          <w:sz w:val="24"/>
          <w:szCs w:val="24"/>
        </w:rPr>
        <w:t>H</w:t>
      </w:r>
      <w:r w:rsidR="003E1689">
        <w:rPr>
          <w:rFonts w:ascii="Times New Roman" w:hAnsi="Times New Roman" w:cs="Times New Roman"/>
          <w:sz w:val="24"/>
          <w:szCs w:val="24"/>
        </w:rPr>
        <w:t>rvatske</w:t>
      </w:r>
      <w:r w:rsidR="008611AC" w:rsidRPr="00561B4A">
        <w:rPr>
          <w:rFonts w:ascii="Times New Roman" w:hAnsi="Times New Roman" w:cs="Times New Roman"/>
          <w:sz w:val="24"/>
          <w:szCs w:val="24"/>
        </w:rPr>
        <w:t xml:space="preserve"> od 1. listopada 2021. do 31.</w:t>
      </w:r>
      <w:r w:rsidR="005E69C6" w:rsidRPr="00561B4A">
        <w:rPr>
          <w:rFonts w:ascii="Times New Roman" w:hAnsi="Times New Roman" w:cs="Times New Roman"/>
          <w:sz w:val="24"/>
          <w:szCs w:val="24"/>
        </w:rPr>
        <w:t xml:space="preserve"> prosinca </w:t>
      </w:r>
      <w:r w:rsidR="008611AC" w:rsidRPr="00561B4A">
        <w:rPr>
          <w:rFonts w:ascii="Times New Roman" w:hAnsi="Times New Roman" w:cs="Times New Roman"/>
          <w:sz w:val="24"/>
          <w:szCs w:val="24"/>
        </w:rPr>
        <w:t>2022..</w:t>
      </w:r>
    </w:p>
    <w:p w:rsidR="008611AC" w:rsidRPr="00561B4A" w:rsidRDefault="008611AC" w:rsidP="00300623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Pilot-projekt realiziran je </w:t>
      </w:r>
      <w:r w:rsidR="007706E8" w:rsidRPr="00561B4A">
        <w:rPr>
          <w:rFonts w:ascii="Times New Roman" w:hAnsi="Times New Roman" w:cs="Times New Roman"/>
          <w:sz w:val="24"/>
          <w:szCs w:val="24"/>
        </w:rPr>
        <w:t xml:space="preserve">na </w:t>
      </w:r>
      <w:r w:rsidRPr="00561B4A">
        <w:rPr>
          <w:rFonts w:ascii="Times New Roman" w:hAnsi="Times New Roman" w:cs="Times New Roman"/>
          <w:sz w:val="24"/>
          <w:szCs w:val="24"/>
        </w:rPr>
        <w:t>temelj</w:t>
      </w:r>
      <w:r w:rsidR="007706E8" w:rsidRPr="00561B4A">
        <w:rPr>
          <w:rFonts w:ascii="Times New Roman" w:hAnsi="Times New Roman" w:cs="Times New Roman"/>
          <w:sz w:val="24"/>
          <w:szCs w:val="24"/>
        </w:rPr>
        <w:t>u</w:t>
      </w:r>
      <w:r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="00CE4EE1">
        <w:rPr>
          <w:rFonts w:ascii="Times New Roman" w:hAnsi="Times New Roman" w:cs="Times New Roman"/>
          <w:sz w:val="24"/>
          <w:szCs w:val="24"/>
        </w:rPr>
        <w:t>Z</w:t>
      </w:r>
      <w:r w:rsidRPr="00561B4A">
        <w:rPr>
          <w:rFonts w:ascii="Times New Roman" w:hAnsi="Times New Roman" w:cs="Times New Roman"/>
          <w:sz w:val="24"/>
          <w:szCs w:val="24"/>
        </w:rPr>
        <w:t xml:space="preserve">aključka Vlade </w:t>
      </w:r>
      <w:r w:rsidR="00CE4EE1" w:rsidRPr="00CE4EE1">
        <w:rPr>
          <w:rFonts w:ascii="Times New Roman" w:hAnsi="Times New Roman" w:cs="Times New Roman"/>
          <w:sz w:val="24"/>
          <w:szCs w:val="24"/>
        </w:rPr>
        <w:t>Republike Hrvatske</w:t>
      </w:r>
      <w:r w:rsidRPr="00561B4A">
        <w:rPr>
          <w:rFonts w:ascii="Times New Roman" w:hAnsi="Times New Roman" w:cs="Times New Roman"/>
          <w:sz w:val="24"/>
          <w:szCs w:val="24"/>
        </w:rPr>
        <w:t xml:space="preserve">. Prije </w:t>
      </w:r>
      <w:r w:rsidR="00D01DF5">
        <w:rPr>
          <w:rFonts w:ascii="Times New Roman" w:hAnsi="Times New Roman" w:cs="Times New Roman"/>
          <w:sz w:val="24"/>
          <w:szCs w:val="24"/>
        </w:rPr>
        <w:t>početka provođenja p</w:t>
      </w:r>
      <w:r w:rsidR="00893F2B" w:rsidRPr="00561B4A">
        <w:rPr>
          <w:rFonts w:ascii="Times New Roman" w:hAnsi="Times New Roman" w:cs="Times New Roman"/>
          <w:sz w:val="24"/>
          <w:szCs w:val="24"/>
        </w:rPr>
        <w:t>ilot-projekta vlakom se redovno koristilo oko 7.000 učenika</w:t>
      </w:r>
      <w:r w:rsidR="000B2C25" w:rsidRPr="00561B4A">
        <w:rPr>
          <w:rFonts w:ascii="Times New Roman" w:hAnsi="Times New Roman" w:cs="Times New Roman"/>
          <w:sz w:val="24"/>
          <w:szCs w:val="24"/>
        </w:rPr>
        <w:t xml:space="preserve">. U prvih </w:t>
      </w:r>
      <w:r w:rsidR="00CE4EE1">
        <w:rPr>
          <w:rFonts w:ascii="Times New Roman" w:hAnsi="Times New Roman" w:cs="Times New Roman"/>
          <w:sz w:val="24"/>
          <w:szCs w:val="24"/>
        </w:rPr>
        <w:t>devet</w:t>
      </w:r>
      <w:r w:rsidR="000B2C25" w:rsidRPr="00561B4A">
        <w:rPr>
          <w:rFonts w:ascii="Times New Roman" w:hAnsi="Times New Roman" w:cs="Times New Roman"/>
          <w:sz w:val="24"/>
          <w:szCs w:val="24"/>
        </w:rPr>
        <w:t xml:space="preserve"> mjeseci provođenja</w:t>
      </w:r>
      <w:r w:rsidR="00EE7E19"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="000B2C25" w:rsidRPr="00561B4A">
        <w:rPr>
          <w:rFonts w:ascii="Times New Roman" w:hAnsi="Times New Roman" w:cs="Times New Roman"/>
          <w:sz w:val="24"/>
          <w:szCs w:val="24"/>
        </w:rPr>
        <w:t xml:space="preserve">ovog projekta </w:t>
      </w:r>
      <w:r w:rsidR="00EE7E19" w:rsidRPr="00561B4A">
        <w:rPr>
          <w:rFonts w:ascii="Times New Roman" w:hAnsi="Times New Roman" w:cs="Times New Roman"/>
          <w:sz w:val="24"/>
          <w:szCs w:val="24"/>
        </w:rPr>
        <w:t xml:space="preserve">broj djece koja su se prevezla vlakom porastao je na </w:t>
      </w:r>
      <w:r w:rsidR="00EE7E19" w:rsidRPr="00561B4A">
        <w:rPr>
          <w:rFonts w:ascii="Times New Roman" w:hAnsi="Times New Roman" w:cs="Times New Roman"/>
          <w:b/>
          <w:bCs/>
          <w:sz w:val="24"/>
          <w:szCs w:val="24"/>
        </w:rPr>
        <w:t>više od 3</w:t>
      </w:r>
      <w:r w:rsidR="00693CAC" w:rsidRPr="00561B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7E19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.000, a ostvareno je više od </w:t>
      </w:r>
      <w:r w:rsidR="00693CAC" w:rsidRPr="00561B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E7E19"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 milijuna putovanja</w:t>
      </w:r>
      <w:r w:rsidR="00EC791B" w:rsidRPr="00561B4A">
        <w:rPr>
          <w:rFonts w:ascii="Times New Roman" w:hAnsi="Times New Roman" w:cs="Times New Roman"/>
          <w:sz w:val="24"/>
          <w:szCs w:val="24"/>
        </w:rPr>
        <w:t>. Dio djece vlak koristi za svakodnevna putovanja do obrazovne ustanove, dok dio njih putuje vlakom povremeno.</w:t>
      </w:r>
    </w:p>
    <w:p w:rsidR="00EC791B" w:rsidRPr="00561B4A" w:rsidRDefault="00954D04" w:rsidP="00300623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Svrha ovog pilot-projekta ima socijalnu i razvojnu dimenziju. U socijalnom smislu uvođenjem pilot-projekta </w:t>
      </w:r>
      <w:r w:rsidR="00172D80" w:rsidRPr="00561B4A">
        <w:rPr>
          <w:rFonts w:ascii="Times New Roman" w:hAnsi="Times New Roman" w:cs="Times New Roman"/>
          <w:sz w:val="24"/>
          <w:szCs w:val="24"/>
        </w:rPr>
        <w:t xml:space="preserve">znatno se olakšava financijska situacija roditelja djece </w:t>
      </w:r>
      <w:r w:rsidR="006E2659" w:rsidRPr="00561B4A">
        <w:rPr>
          <w:rFonts w:ascii="Times New Roman" w:hAnsi="Times New Roman" w:cs="Times New Roman"/>
          <w:sz w:val="24"/>
          <w:szCs w:val="24"/>
        </w:rPr>
        <w:t xml:space="preserve">i </w:t>
      </w:r>
      <w:r w:rsidR="00172D80" w:rsidRPr="00561B4A">
        <w:rPr>
          <w:rFonts w:ascii="Times New Roman" w:hAnsi="Times New Roman" w:cs="Times New Roman"/>
          <w:sz w:val="24"/>
          <w:szCs w:val="24"/>
        </w:rPr>
        <w:t>učenika</w:t>
      </w:r>
      <w:r w:rsidR="006E2659" w:rsidRPr="00561B4A">
        <w:rPr>
          <w:rFonts w:ascii="Times New Roman" w:hAnsi="Times New Roman" w:cs="Times New Roman"/>
          <w:sz w:val="24"/>
          <w:szCs w:val="24"/>
        </w:rPr>
        <w:t xml:space="preserve">, </w:t>
      </w:r>
      <w:r w:rsidR="00172D80" w:rsidRPr="00561B4A">
        <w:rPr>
          <w:rFonts w:ascii="Times New Roman" w:hAnsi="Times New Roman" w:cs="Times New Roman"/>
          <w:sz w:val="24"/>
          <w:szCs w:val="24"/>
        </w:rPr>
        <w:t xml:space="preserve">kao i podrška demografskoj revitalizaciji. Isto tako rasteretio se budžet </w:t>
      </w:r>
      <w:r w:rsidR="00380090" w:rsidRPr="00561B4A">
        <w:rPr>
          <w:rFonts w:ascii="Times New Roman" w:hAnsi="Times New Roman" w:cs="Times New Roman"/>
          <w:sz w:val="24"/>
          <w:szCs w:val="24"/>
        </w:rPr>
        <w:t>jedinica lokalne i regionalne samouprave. U razvojnom smislu</w:t>
      </w:r>
      <w:r w:rsidR="00334B73" w:rsidRPr="00561B4A">
        <w:rPr>
          <w:rFonts w:ascii="Times New Roman" w:hAnsi="Times New Roman" w:cs="Times New Roman"/>
          <w:sz w:val="24"/>
          <w:szCs w:val="24"/>
        </w:rPr>
        <w:t>, s obzirom na velika ulaganja u</w:t>
      </w:r>
      <w:r w:rsidR="00394A0F" w:rsidRPr="00561B4A">
        <w:rPr>
          <w:rFonts w:ascii="Times New Roman" w:hAnsi="Times New Roman" w:cs="Times New Roman"/>
          <w:sz w:val="24"/>
          <w:szCs w:val="24"/>
        </w:rPr>
        <w:t xml:space="preserve"> željezničku</w:t>
      </w:r>
      <w:r w:rsidR="00334B73" w:rsidRPr="00561B4A">
        <w:rPr>
          <w:rFonts w:ascii="Times New Roman" w:hAnsi="Times New Roman" w:cs="Times New Roman"/>
          <w:sz w:val="24"/>
          <w:szCs w:val="24"/>
        </w:rPr>
        <w:t xml:space="preserve"> infrastrukturu i vozni park</w:t>
      </w:r>
      <w:r w:rsidR="00394A0F" w:rsidRPr="00561B4A">
        <w:rPr>
          <w:rFonts w:ascii="Times New Roman" w:hAnsi="Times New Roman" w:cs="Times New Roman"/>
          <w:sz w:val="24"/>
          <w:szCs w:val="24"/>
        </w:rPr>
        <w:t xml:space="preserve">, ovim pilot-projektom stvara se navika putovanja vlakom kod djece </w:t>
      </w:r>
      <w:r w:rsidR="004F75D8" w:rsidRPr="00561B4A">
        <w:rPr>
          <w:rFonts w:ascii="Times New Roman" w:hAnsi="Times New Roman" w:cs="Times New Roman"/>
          <w:sz w:val="24"/>
          <w:szCs w:val="24"/>
        </w:rPr>
        <w:t>i mladih te potiče korištenje i održivost željezničkog prijevoza.</w:t>
      </w:r>
    </w:p>
    <w:p w:rsidR="009D2668" w:rsidRPr="00561B4A" w:rsidRDefault="009D2668" w:rsidP="00300623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 xml:space="preserve">Pilot-projekt </w:t>
      </w:r>
      <w:r w:rsidR="007750DC" w:rsidRPr="00561B4A">
        <w:rPr>
          <w:rFonts w:ascii="Times New Roman" w:hAnsi="Times New Roman" w:cs="Times New Roman"/>
          <w:sz w:val="24"/>
          <w:szCs w:val="24"/>
        </w:rPr>
        <w:t xml:space="preserve">besplatnog javnog željezničkog prijevoza djece i učenika osnovnih i srednjih škola u potpunosti je </w:t>
      </w:r>
      <w:r w:rsidRPr="00561B4A">
        <w:rPr>
          <w:rFonts w:ascii="Times New Roman" w:hAnsi="Times New Roman" w:cs="Times New Roman"/>
          <w:sz w:val="24"/>
          <w:szCs w:val="24"/>
        </w:rPr>
        <w:t xml:space="preserve">opravdao </w:t>
      </w:r>
      <w:r w:rsidR="002570C4" w:rsidRPr="00561B4A">
        <w:rPr>
          <w:rFonts w:ascii="Times New Roman" w:hAnsi="Times New Roman" w:cs="Times New Roman"/>
          <w:sz w:val="24"/>
          <w:szCs w:val="24"/>
        </w:rPr>
        <w:t>očekivanja</w:t>
      </w:r>
      <w:r w:rsidR="007750DC" w:rsidRPr="00561B4A">
        <w:rPr>
          <w:rFonts w:ascii="Times New Roman" w:hAnsi="Times New Roman" w:cs="Times New Roman"/>
          <w:sz w:val="24"/>
          <w:szCs w:val="24"/>
        </w:rPr>
        <w:t xml:space="preserve"> i postigao postavljene ciljeve.</w:t>
      </w:r>
    </w:p>
    <w:p w:rsidR="004F75D8" w:rsidRPr="00561B4A" w:rsidRDefault="004F75D8" w:rsidP="003006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CF7" w:rsidRPr="00561B4A" w:rsidRDefault="006F2AC3" w:rsidP="006F2A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:rsidR="00A55466" w:rsidRPr="00561B4A" w:rsidRDefault="00A55466" w:rsidP="00A55466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t>U 2022. godini Europska unija obilježava Europsku godinu mladih u kojoj se želi ukazati na važnu ulogu mladih u izgradnj</w:t>
      </w:r>
      <w:r w:rsidRPr="00DD5BB3">
        <w:rPr>
          <w:rFonts w:ascii="Times New Roman" w:hAnsi="Times New Roman" w:cs="Times New Roman"/>
          <w:sz w:val="24"/>
          <w:szCs w:val="24"/>
        </w:rPr>
        <w:t>i</w:t>
      </w:r>
      <w:r w:rsidRPr="00561B4A">
        <w:rPr>
          <w:rFonts w:ascii="Times New Roman" w:hAnsi="Times New Roman" w:cs="Times New Roman"/>
          <w:sz w:val="24"/>
          <w:szCs w:val="24"/>
        </w:rPr>
        <w:t xml:space="preserve"> bolje, zelene, </w:t>
      </w:r>
      <w:proofErr w:type="spellStart"/>
      <w:r w:rsidRPr="00561B4A">
        <w:rPr>
          <w:rFonts w:ascii="Times New Roman" w:hAnsi="Times New Roman" w:cs="Times New Roman"/>
          <w:sz w:val="24"/>
          <w:szCs w:val="24"/>
        </w:rPr>
        <w:t>uključive</w:t>
      </w:r>
      <w:proofErr w:type="spellEnd"/>
      <w:r w:rsidRPr="00561B4A">
        <w:rPr>
          <w:rFonts w:ascii="Times New Roman" w:hAnsi="Times New Roman" w:cs="Times New Roman"/>
          <w:sz w:val="24"/>
          <w:szCs w:val="24"/>
        </w:rPr>
        <w:t xml:space="preserve"> i digitalne budućnosti. S obzirom da je prijevoz vlakom ekološki najprihvatljiviji </w:t>
      </w:r>
      <w:r w:rsidR="003E1689">
        <w:rPr>
          <w:rFonts w:ascii="Times New Roman" w:hAnsi="Times New Roman" w:cs="Times New Roman"/>
          <w:sz w:val="24"/>
          <w:szCs w:val="24"/>
        </w:rPr>
        <w:t>oblik</w:t>
      </w:r>
      <w:r w:rsidRPr="00561B4A">
        <w:rPr>
          <w:rFonts w:ascii="Times New Roman" w:hAnsi="Times New Roman" w:cs="Times New Roman"/>
          <w:sz w:val="24"/>
          <w:szCs w:val="24"/>
        </w:rPr>
        <w:t xml:space="preserve"> prijevoza, upravo je Europska godina mladih prilika da se dodatno potakne studente na korištenje vlaka. </w:t>
      </w:r>
      <w:r w:rsidR="00012DC7" w:rsidRPr="00561B4A">
        <w:rPr>
          <w:rFonts w:ascii="Times New Roman" w:hAnsi="Times New Roman" w:cs="Times New Roman"/>
          <w:sz w:val="24"/>
          <w:szCs w:val="24"/>
        </w:rPr>
        <w:t>P</w:t>
      </w:r>
      <w:r w:rsidRPr="00561B4A">
        <w:rPr>
          <w:rFonts w:ascii="Times New Roman" w:hAnsi="Times New Roman" w:cs="Times New Roman"/>
          <w:sz w:val="24"/>
          <w:szCs w:val="24"/>
        </w:rPr>
        <w:t xml:space="preserve">ilot-projekt </w:t>
      </w:r>
      <w:r w:rsidR="00012DC7" w:rsidRPr="00561B4A">
        <w:rPr>
          <w:rFonts w:ascii="Times New Roman" w:hAnsi="Times New Roman" w:cs="Times New Roman"/>
          <w:sz w:val="24"/>
          <w:szCs w:val="24"/>
        </w:rPr>
        <w:t xml:space="preserve">povoljnijega </w:t>
      </w:r>
      <w:r w:rsidR="002D5F47" w:rsidRPr="00561B4A">
        <w:rPr>
          <w:rFonts w:ascii="Times New Roman" w:hAnsi="Times New Roman" w:cs="Times New Roman"/>
          <w:sz w:val="24"/>
          <w:szCs w:val="24"/>
        </w:rPr>
        <w:t xml:space="preserve">javnog željezničkog </w:t>
      </w:r>
      <w:r w:rsidR="00DD5BB3">
        <w:rPr>
          <w:rFonts w:ascii="Times New Roman" w:hAnsi="Times New Roman" w:cs="Times New Roman"/>
          <w:sz w:val="24"/>
          <w:szCs w:val="24"/>
        </w:rPr>
        <w:t>prijevoza studenata u</w:t>
      </w:r>
      <w:r w:rsidRPr="00561B4A">
        <w:rPr>
          <w:rFonts w:ascii="Times New Roman" w:hAnsi="Times New Roman" w:cs="Times New Roman"/>
          <w:sz w:val="24"/>
          <w:szCs w:val="24"/>
        </w:rPr>
        <w:t xml:space="preserve"> skladu </w:t>
      </w:r>
      <w:r w:rsidR="00AE4F74" w:rsidRPr="00561B4A">
        <w:rPr>
          <w:rFonts w:ascii="Times New Roman" w:hAnsi="Times New Roman" w:cs="Times New Roman"/>
          <w:sz w:val="24"/>
          <w:szCs w:val="24"/>
        </w:rPr>
        <w:t>j</w:t>
      </w:r>
      <w:r w:rsidRPr="00561B4A">
        <w:rPr>
          <w:rFonts w:ascii="Times New Roman" w:hAnsi="Times New Roman" w:cs="Times New Roman"/>
          <w:sz w:val="24"/>
          <w:szCs w:val="24"/>
        </w:rPr>
        <w:t>e s Programom Vlade Republike Hrvatske 2020</w:t>
      </w:r>
      <w:r w:rsidR="00012DC7" w:rsidRPr="00561B4A">
        <w:rPr>
          <w:rFonts w:ascii="Times New Roman" w:hAnsi="Times New Roman" w:cs="Times New Roman"/>
          <w:sz w:val="24"/>
          <w:szCs w:val="24"/>
        </w:rPr>
        <w:t xml:space="preserve">. – </w:t>
      </w:r>
      <w:r w:rsidRPr="00561B4A">
        <w:rPr>
          <w:rFonts w:ascii="Times New Roman" w:hAnsi="Times New Roman" w:cs="Times New Roman"/>
          <w:sz w:val="24"/>
          <w:szCs w:val="24"/>
        </w:rPr>
        <w:t>2024</w:t>
      </w:r>
      <w:r w:rsidR="00012DC7" w:rsidRPr="00561B4A">
        <w:rPr>
          <w:rFonts w:ascii="Times New Roman" w:hAnsi="Times New Roman" w:cs="Times New Roman"/>
          <w:sz w:val="24"/>
          <w:szCs w:val="24"/>
        </w:rPr>
        <w:t>.</w:t>
      </w:r>
      <w:r w:rsidRPr="00561B4A">
        <w:rPr>
          <w:rFonts w:ascii="Times New Roman" w:hAnsi="Times New Roman" w:cs="Times New Roman"/>
          <w:sz w:val="24"/>
          <w:szCs w:val="24"/>
        </w:rPr>
        <w:t xml:space="preserve"> koji obuhvaća besplatn</w:t>
      </w:r>
      <w:r w:rsidR="00012DC7" w:rsidRPr="00561B4A">
        <w:rPr>
          <w:rFonts w:ascii="Times New Roman" w:hAnsi="Times New Roman" w:cs="Times New Roman"/>
          <w:sz w:val="24"/>
          <w:szCs w:val="24"/>
        </w:rPr>
        <w:t>i</w:t>
      </w:r>
      <w:r w:rsidRPr="00561B4A">
        <w:rPr>
          <w:rFonts w:ascii="Times New Roman" w:hAnsi="Times New Roman" w:cs="Times New Roman"/>
          <w:sz w:val="24"/>
          <w:szCs w:val="24"/>
        </w:rPr>
        <w:t xml:space="preserve"> željeznički prijevoz djece, učenika i studenata</w:t>
      </w:r>
      <w:r w:rsidR="0094026A" w:rsidRPr="00561B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F81" w:rsidRPr="00561B4A" w:rsidRDefault="00EB7F81" w:rsidP="00300623">
      <w:pPr>
        <w:jc w:val="both"/>
        <w:rPr>
          <w:rFonts w:ascii="Times New Roman" w:hAnsi="Times New Roman" w:cs="Times New Roman"/>
          <w:sz w:val="24"/>
          <w:szCs w:val="24"/>
        </w:rPr>
      </w:pPr>
      <w:r w:rsidRPr="00561B4A">
        <w:rPr>
          <w:rFonts w:ascii="Times New Roman" w:hAnsi="Times New Roman" w:cs="Times New Roman"/>
          <w:sz w:val="24"/>
          <w:szCs w:val="24"/>
        </w:rPr>
        <w:lastRenderedPageBreak/>
        <w:t xml:space="preserve">Uvođenjem pilot-projekta </w:t>
      </w:r>
      <w:r w:rsidR="00A55466" w:rsidRPr="00561B4A">
        <w:rPr>
          <w:rFonts w:ascii="Times New Roman" w:hAnsi="Times New Roman" w:cs="Times New Roman"/>
          <w:sz w:val="24"/>
          <w:szCs w:val="24"/>
        </w:rPr>
        <w:t>povoljnije</w:t>
      </w:r>
      <w:r w:rsidR="00334BA3" w:rsidRPr="00561B4A">
        <w:rPr>
          <w:rFonts w:ascii="Times New Roman" w:hAnsi="Times New Roman" w:cs="Times New Roman"/>
          <w:sz w:val="24"/>
          <w:szCs w:val="24"/>
        </w:rPr>
        <w:t>ga</w:t>
      </w:r>
      <w:r w:rsidRPr="00561B4A">
        <w:rPr>
          <w:rFonts w:ascii="Times New Roman" w:hAnsi="Times New Roman" w:cs="Times New Roman"/>
          <w:sz w:val="24"/>
          <w:szCs w:val="24"/>
        </w:rPr>
        <w:t xml:space="preserve"> </w:t>
      </w:r>
      <w:r w:rsidR="002D5F47" w:rsidRPr="00561B4A">
        <w:rPr>
          <w:rFonts w:ascii="Times New Roman" w:hAnsi="Times New Roman" w:cs="Times New Roman"/>
          <w:sz w:val="24"/>
          <w:szCs w:val="24"/>
        </w:rPr>
        <w:t xml:space="preserve">javnog željezničkog </w:t>
      </w:r>
      <w:r w:rsidR="00334BA3" w:rsidRPr="00561B4A">
        <w:rPr>
          <w:rFonts w:ascii="Times New Roman" w:hAnsi="Times New Roman" w:cs="Times New Roman"/>
          <w:sz w:val="24"/>
          <w:szCs w:val="24"/>
        </w:rPr>
        <w:t xml:space="preserve">prijevoza </w:t>
      </w:r>
      <w:r w:rsidRPr="00561B4A">
        <w:rPr>
          <w:rFonts w:ascii="Times New Roman" w:hAnsi="Times New Roman" w:cs="Times New Roman"/>
          <w:sz w:val="24"/>
          <w:szCs w:val="24"/>
        </w:rPr>
        <w:t xml:space="preserve">studenata očekuje se ne samo zadržavanje postojećih korisnika usluge, nego i povećanje potražnje, što će u konačnici rezultirati povećanjem broja korisnika željezničkog prijevoza. </w:t>
      </w:r>
    </w:p>
    <w:p w:rsidR="005A78D7" w:rsidRPr="00561B4A" w:rsidRDefault="005A78D7" w:rsidP="005A7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B4A">
        <w:rPr>
          <w:rFonts w:ascii="Times New Roman" w:hAnsi="Times New Roman" w:cs="Times New Roman"/>
          <w:b/>
          <w:bCs/>
          <w:sz w:val="24"/>
          <w:szCs w:val="24"/>
        </w:rPr>
        <w:t>Realizacijom pilot-projekta doprinijet će se povećanju mobilnosti studenata, zaustavljanju iseljavanja u urbane sredine i poboljšanju životnog standarda građana, revitalizaciji prometa putničkih vlakova na nerazvijenim područjima i poticanju korištenja željezničkog prijevoza studentima i na ostalim područjima R</w:t>
      </w:r>
      <w:r w:rsidR="00CE4EE1">
        <w:rPr>
          <w:rFonts w:ascii="Times New Roman" w:hAnsi="Times New Roman" w:cs="Times New Roman"/>
          <w:b/>
          <w:bCs/>
          <w:sz w:val="24"/>
          <w:szCs w:val="24"/>
        </w:rPr>
        <w:t xml:space="preserve">epublike 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CE4EE1">
        <w:rPr>
          <w:rFonts w:ascii="Times New Roman" w:hAnsi="Times New Roman" w:cs="Times New Roman"/>
          <w:b/>
          <w:bCs/>
          <w:sz w:val="24"/>
          <w:szCs w:val="24"/>
        </w:rPr>
        <w:t>rvatske</w:t>
      </w:r>
      <w:r w:rsidRPr="00561B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20D1F" w:rsidRPr="00561B4A" w:rsidRDefault="00C20D1F" w:rsidP="005A78D7">
      <w:pPr>
        <w:jc w:val="both"/>
        <w:rPr>
          <w:rFonts w:ascii="Times New Roman" w:hAnsi="Times New Roman" w:cs="Times New Roman"/>
          <w:b/>
          <w:bCs/>
        </w:rPr>
      </w:pPr>
    </w:p>
    <w:p w:rsidR="00EB7F81" w:rsidRPr="00561B4A" w:rsidRDefault="000569D0" w:rsidP="005A78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B4A">
        <w:rPr>
          <w:rFonts w:ascii="Times New Roman" w:hAnsi="Times New Roman" w:cs="Times New Roman"/>
          <w:i/>
          <w:sz w:val="20"/>
          <w:szCs w:val="20"/>
        </w:rPr>
        <w:br w:type="page"/>
      </w:r>
      <w:r w:rsidR="00EB7C0B" w:rsidRPr="00561B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39709B" w:rsidRPr="00561B4A">
        <w:rPr>
          <w:rFonts w:ascii="Times New Roman" w:hAnsi="Times New Roman" w:cs="Times New Roman"/>
          <w:i/>
          <w:sz w:val="24"/>
          <w:szCs w:val="24"/>
        </w:rPr>
        <w:t>PRILOG I: Popis županija/općina/gradova s kojima je sklopljenu ugovor o sufinanciranju prijevoza studenata za akademsku godinu 2021/2022</w:t>
      </w:r>
      <w:r w:rsidR="00E73ACE" w:rsidRPr="00561B4A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EB7F81" w:rsidRPr="00561B4A" w:rsidTr="00240F71">
        <w:trPr>
          <w:trHeight w:val="470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D2FC5" w:rsidRPr="00561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PSEG</w:t>
            </w:r>
            <w:r w:rsidRPr="00561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SUFINANCIRANJA</w:t>
            </w:r>
          </w:p>
        </w:tc>
        <w:tc>
          <w:tcPr>
            <w:tcW w:w="6090" w:type="dxa"/>
            <w:shd w:val="clear" w:color="auto" w:fill="DEEAF6" w:themeFill="accent5" w:themeFillTint="33"/>
            <w:vAlign w:val="center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ŽUPANIJA / OPĆINA / GRAD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 w:val="restart"/>
            <w:vAlign w:val="center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U potpunosti</w:t>
            </w: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Splitsko</w:t>
            </w:r>
            <w:r w:rsidR="00E73ACE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dalmatinska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Požeško</w:t>
            </w:r>
            <w:r w:rsidR="00E73ACE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slavonska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Primorsko</w:t>
            </w:r>
            <w:r w:rsidR="00E73ACE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goranska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Brodsko</w:t>
            </w:r>
            <w:r w:rsidR="00E73ACE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posavska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Osječko</w:t>
            </w:r>
            <w:r w:rsidR="00CD2FC5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baranjska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Bjelovarsko</w:t>
            </w:r>
            <w:r w:rsidR="00CD2FC5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bilogorska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Ličko-senjska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Ivanić</w:t>
            </w:r>
            <w:r w:rsidR="00357453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Slatina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 w:val="restart"/>
            <w:vAlign w:val="center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 xml:space="preserve">Djelomično </w:t>
            </w: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Sisačko-moslavačka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Varaždinska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E7E6E6" w:themeFill="background2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Šibensko</w:t>
            </w:r>
            <w:r w:rsidR="00357453" w:rsidRPr="00561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kninska županija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Dugo Selo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Kloštar Ivanić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Križ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 xml:space="preserve">Sveta </w:t>
            </w:r>
            <w:proofErr w:type="spellStart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Nedelja</w:t>
            </w:r>
            <w:proofErr w:type="spellEnd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Brdovec</w:t>
            </w:r>
            <w:proofErr w:type="spellEnd"/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Marija Gorica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Klinča Sela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Oroslavje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Bedekovčina</w:t>
            </w:r>
            <w:proofErr w:type="spellEnd"/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Marija Bistrica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 xml:space="preserve">Veliko </w:t>
            </w:r>
            <w:proofErr w:type="spellStart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Trgovišće</w:t>
            </w:r>
            <w:proofErr w:type="spellEnd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Sisak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Križevci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Koprivnica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 xml:space="preserve">Sveti Ivan </w:t>
            </w:r>
            <w:proofErr w:type="spellStart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Žabno</w:t>
            </w:r>
            <w:proofErr w:type="spellEnd"/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Darda 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Vrbovec</w:t>
            </w:r>
          </w:p>
        </w:tc>
      </w:tr>
      <w:tr w:rsidR="00EB7F81" w:rsidRPr="00561B4A" w:rsidTr="002E51C5">
        <w:trPr>
          <w:trHeight w:val="284"/>
        </w:trPr>
        <w:tc>
          <w:tcPr>
            <w:tcW w:w="2972" w:type="dxa"/>
            <w:vMerge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7F81" w:rsidRPr="00561B4A" w:rsidRDefault="00EB7F81" w:rsidP="00F5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4A">
              <w:rPr>
                <w:rFonts w:ascii="Times New Roman" w:hAnsi="Times New Roman" w:cs="Times New Roman"/>
                <w:sz w:val="24"/>
                <w:szCs w:val="24"/>
              </w:rPr>
              <w:t>Gornja Stubica</w:t>
            </w:r>
          </w:p>
        </w:tc>
      </w:tr>
    </w:tbl>
    <w:p w:rsidR="00EB7F81" w:rsidRPr="00561B4A" w:rsidRDefault="00EB7F81">
      <w:pPr>
        <w:rPr>
          <w:rFonts w:ascii="Times New Roman" w:hAnsi="Times New Roman" w:cs="Times New Roman"/>
          <w:i/>
          <w:sz w:val="20"/>
          <w:szCs w:val="20"/>
        </w:rPr>
      </w:pPr>
    </w:p>
    <w:p w:rsidR="00EB7F81" w:rsidRPr="00561B4A" w:rsidRDefault="00EB7F81">
      <w:pPr>
        <w:rPr>
          <w:rFonts w:ascii="Times New Roman" w:hAnsi="Times New Roman" w:cs="Times New Roman"/>
          <w:i/>
          <w:sz w:val="20"/>
          <w:szCs w:val="20"/>
        </w:rPr>
      </w:pPr>
      <w:r w:rsidRPr="00561B4A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184C84" w:rsidRPr="00561B4A" w:rsidRDefault="00184C84" w:rsidP="00C009E3">
      <w:pPr>
        <w:rPr>
          <w:rFonts w:ascii="Times New Roman" w:hAnsi="Times New Roman" w:cs="Times New Roman"/>
          <w:i/>
          <w:sz w:val="20"/>
          <w:szCs w:val="20"/>
        </w:rPr>
        <w:sectPr w:rsidR="00184C84" w:rsidRPr="00561B4A" w:rsidSect="003C7C8B">
          <w:footerReference w:type="default" r:id="rId10"/>
          <w:pgSz w:w="11906" w:h="16838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</w:p>
    <w:p w:rsidR="007E01F3" w:rsidRPr="00561B4A" w:rsidRDefault="007E01F3" w:rsidP="007E01F3">
      <w:pPr>
        <w:rPr>
          <w:rFonts w:ascii="Times New Roman" w:hAnsi="Times New Roman" w:cs="Times New Roman"/>
          <w:i/>
          <w:sz w:val="24"/>
          <w:szCs w:val="24"/>
        </w:rPr>
      </w:pPr>
      <w:r w:rsidRPr="00561B4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PRILOG II:  </w:t>
      </w:r>
      <w:bookmarkStart w:id="1" w:name="_Hlk109744174"/>
      <w:r w:rsidR="00BA4527" w:rsidRPr="00561B4A">
        <w:rPr>
          <w:rFonts w:ascii="Times New Roman" w:hAnsi="Times New Roman" w:cs="Times New Roman"/>
          <w:i/>
          <w:sz w:val="24"/>
          <w:szCs w:val="24"/>
        </w:rPr>
        <w:t>Razrada p</w:t>
      </w:r>
      <w:r w:rsidRPr="00561B4A">
        <w:rPr>
          <w:rFonts w:ascii="Times New Roman" w:hAnsi="Times New Roman" w:cs="Times New Roman"/>
          <w:i/>
          <w:sz w:val="24"/>
          <w:szCs w:val="24"/>
        </w:rPr>
        <w:t>rihod</w:t>
      </w:r>
      <w:r w:rsidR="00BA4527" w:rsidRPr="00561B4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55EFD" w:rsidRPr="00561B4A">
        <w:rPr>
          <w:rFonts w:ascii="Times New Roman" w:hAnsi="Times New Roman" w:cs="Times New Roman"/>
          <w:i/>
          <w:sz w:val="24"/>
          <w:szCs w:val="24"/>
        </w:rPr>
        <w:t xml:space="preserve">na osnovu prijevoza 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studenata </w:t>
      </w:r>
      <w:r w:rsidR="00F55EFD" w:rsidRPr="00561B4A">
        <w:rPr>
          <w:rFonts w:ascii="Times New Roman" w:hAnsi="Times New Roman" w:cs="Times New Roman"/>
          <w:i/>
          <w:sz w:val="24"/>
          <w:szCs w:val="24"/>
        </w:rPr>
        <w:t>po kalendarskim</w:t>
      </w:r>
      <w:r w:rsidRPr="00561B4A">
        <w:rPr>
          <w:rFonts w:ascii="Times New Roman" w:hAnsi="Times New Roman" w:cs="Times New Roman"/>
          <w:i/>
          <w:sz w:val="24"/>
          <w:szCs w:val="24"/>
        </w:rPr>
        <w:t xml:space="preserve"> godinama</w:t>
      </w:r>
      <w:r w:rsidR="00F55EFD" w:rsidRPr="00561B4A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3D4BB7" w:rsidRPr="00561B4A">
        <w:rPr>
          <w:rFonts w:ascii="Times New Roman" w:hAnsi="Times New Roman" w:cs="Times New Roman"/>
          <w:i/>
          <w:sz w:val="24"/>
          <w:szCs w:val="24"/>
        </w:rPr>
        <w:t>.</w:t>
      </w:r>
      <w:r w:rsidR="00357453"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EFD" w:rsidRPr="00561B4A">
        <w:rPr>
          <w:rFonts w:ascii="Times New Roman" w:hAnsi="Times New Roman" w:cs="Times New Roman"/>
          <w:i/>
          <w:sz w:val="24"/>
          <w:szCs w:val="24"/>
        </w:rPr>
        <w:t>-</w:t>
      </w:r>
      <w:r w:rsidR="00357453" w:rsidRPr="00561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EFD" w:rsidRPr="00561B4A">
        <w:rPr>
          <w:rFonts w:ascii="Times New Roman" w:hAnsi="Times New Roman" w:cs="Times New Roman"/>
          <w:i/>
          <w:sz w:val="24"/>
          <w:szCs w:val="24"/>
        </w:rPr>
        <w:t>2022</w:t>
      </w:r>
      <w:bookmarkEnd w:id="1"/>
      <w:r w:rsidR="003D4BB7" w:rsidRPr="00561B4A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W w:w="15552" w:type="dxa"/>
        <w:tblLook w:val="04A0" w:firstRow="1" w:lastRow="0" w:firstColumn="1" w:lastColumn="0" w:noHBand="0" w:noVBand="1"/>
      </w:tblPr>
      <w:tblGrid>
        <w:gridCol w:w="1830"/>
        <w:gridCol w:w="1203"/>
        <w:gridCol w:w="821"/>
        <w:gridCol w:w="1406"/>
        <w:gridCol w:w="1297"/>
        <w:gridCol w:w="821"/>
        <w:gridCol w:w="1406"/>
        <w:gridCol w:w="1297"/>
        <w:gridCol w:w="821"/>
        <w:gridCol w:w="1406"/>
        <w:gridCol w:w="1297"/>
        <w:gridCol w:w="821"/>
        <w:gridCol w:w="1406"/>
      </w:tblGrid>
      <w:tr w:rsidR="00B13514" w:rsidRPr="00561B4A" w:rsidTr="00B07BC6">
        <w:trPr>
          <w:trHeight w:val="45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KATEGORIJA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2019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2E51C5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 – VI </w:t>
            </w:r>
            <w:r w:rsidR="00B13514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  <w:r w:rsidR="003D4BB7"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B13514" w:rsidRPr="00561B4A" w:rsidTr="00B07BC6">
        <w:trPr>
          <w:trHeight w:val="5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PUTOVANJA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(kn)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PUTOVANJA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(kn)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PUTOVANJA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(kn)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PUTOVANJA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(kn)</w:t>
            </w:r>
          </w:p>
        </w:tc>
      </w:tr>
      <w:tr w:rsidR="007E01F3" w:rsidRPr="00561B4A" w:rsidTr="002D7647">
        <w:trPr>
          <w:trHeight w:val="54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Studenti 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1.909.601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240F71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  <w:r w:rsidR="00B13514"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26.119.889,25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971.698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18.181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13.623.098,80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938.532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21.634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12.889.254,90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722.928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9.787.646,65</w:t>
            </w:r>
          </w:p>
        </w:tc>
      </w:tr>
      <w:tr w:rsidR="007E01F3" w:rsidRPr="00561B4A" w:rsidTr="002D7647">
        <w:trPr>
          <w:trHeight w:val="4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Studenti sufinancirano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1.348.420,20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1.103.862,40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3.540.403,40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1.653.198,86</w:t>
            </w:r>
          </w:p>
        </w:tc>
      </w:tr>
      <w:tr w:rsidR="00B13514" w:rsidRPr="00561B4A" w:rsidTr="00B07BC6">
        <w:trPr>
          <w:trHeight w:val="7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Studenti ukupno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1.909.601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27.468.309,45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971.698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18.181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14.726.961,20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938.532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21.634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16.429.658,30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722.928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8.377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11.440.845,51</w:t>
            </w:r>
          </w:p>
        </w:tc>
      </w:tr>
      <w:tr w:rsidR="00B07BC6" w:rsidRPr="00561B4A" w:rsidTr="002D7647">
        <w:trPr>
          <w:trHeight w:val="52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BC6" w:rsidRPr="00561B4A" w:rsidRDefault="00B07BC6" w:rsidP="00B07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Udio sufinanciranog u ukupnom prihodu</w:t>
            </w:r>
          </w:p>
        </w:tc>
        <w:tc>
          <w:tcPr>
            <w:tcW w:w="3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BC6" w:rsidRPr="00561B4A" w:rsidRDefault="00B07BC6" w:rsidP="00B0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4,91%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BC6" w:rsidRPr="00561B4A" w:rsidRDefault="00B07BC6" w:rsidP="00B0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7,50%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BC6" w:rsidRPr="00561B4A" w:rsidRDefault="00B07BC6" w:rsidP="00B0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21,55%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BC6" w:rsidRPr="00561B4A" w:rsidRDefault="00B07BC6" w:rsidP="00B07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14,45%</w:t>
            </w:r>
          </w:p>
        </w:tc>
      </w:tr>
      <w:tr w:rsidR="00B13514" w:rsidRPr="00561B4A" w:rsidTr="002D7647">
        <w:trPr>
          <w:trHeight w:val="4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Prosječn</w:t>
            </w:r>
            <w:r w:rsidR="00357453"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</w:t>
            </w: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prihod po karti (kn)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30,99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30,70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27,98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28,41</w:t>
            </w:r>
          </w:p>
        </w:tc>
      </w:tr>
      <w:tr w:rsidR="00B13514" w:rsidRPr="00561B4A" w:rsidTr="002D7647">
        <w:trPr>
          <w:trHeight w:val="2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Prosječn</w:t>
            </w:r>
            <w:r w:rsidR="00357453"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</w:t>
            </w: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prihod po putniku (kn)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14,38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15,16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17,51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15,83</w:t>
            </w:r>
          </w:p>
        </w:tc>
      </w:tr>
      <w:tr w:rsidR="00B13514" w:rsidRPr="00561B4A" w:rsidTr="00B07BC6">
        <w:trPr>
          <w:trHeight w:val="7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Prosječn</w:t>
            </w:r>
            <w:r w:rsidR="00357453"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</w:t>
            </w: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prihod po profilu godišnje (kn)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810,02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759,44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1.365,74</w:t>
            </w:r>
          </w:p>
        </w:tc>
      </w:tr>
      <w:tr w:rsidR="00B13514" w:rsidRPr="00561B4A" w:rsidTr="00B07BC6">
        <w:trPr>
          <w:trHeight w:val="7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Prosječn</w:t>
            </w:r>
            <w:r w:rsidR="000B0678"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 broj</w:t>
            </w: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putovanja po profilu godišnje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86</w:t>
            </w:r>
          </w:p>
        </w:tc>
      </w:tr>
      <w:tr w:rsidR="00B13514" w:rsidRPr="00561B4A" w:rsidTr="00B07BC6">
        <w:trPr>
          <w:trHeight w:val="7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Prosječn</w:t>
            </w:r>
            <w:r w:rsidR="000B0678"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 broj p</w:t>
            </w: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utovanja po profilu mjesečno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14" w:rsidRPr="00561B4A" w:rsidRDefault="00B13514" w:rsidP="00B1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6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</w:tbl>
    <w:p w:rsidR="00BE617A" w:rsidRPr="00561B4A" w:rsidRDefault="00BE617A" w:rsidP="00240F71">
      <w:pPr>
        <w:rPr>
          <w:rFonts w:ascii="Times New Roman" w:hAnsi="Times New Roman" w:cs="Times New Roman"/>
        </w:rPr>
      </w:pPr>
    </w:p>
    <w:sectPr w:rsidR="00BE617A" w:rsidRPr="00561B4A" w:rsidSect="00DF4BFB">
      <w:pgSz w:w="16838" w:h="11906" w:orient="landscape"/>
      <w:pgMar w:top="1418" w:right="454" w:bottom="141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8E" w:rsidRDefault="009D258E" w:rsidP="005A78D7">
      <w:pPr>
        <w:spacing w:after="0" w:line="240" w:lineRule="auto"/>
      </w:pPr>
      <w:r>
        <w:separator/>
      </w:r>
    </w:p>
  </w:endnote>
  <w:endnote w:type="continuationSeparator" w:id="0">
    <w:p w:rsidR="009D258E" w:rsidRDefault="009D258E" w:rsidP="005A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94060"/>
      <w:docPartObj>
        <w:docPartGallery w:val="Page Numbers (Bottom of Page)"/>
        <w:docPartUnique/>
      </w:docPartObj>
    </w:sdtPr>
    <w:sdtEndPr/>
    <w:sdtContent>
      <w:p w:rsidR="003C7C8B" w:rsidRDefault="003C7C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DF5">
          <w:rPr>
            <w:noProof/>
          </w:rPr>
          <w:t>7</w:t>
        </w:r>
        <w:r>
          <w:fldChar w:fldCharType="end"/>
        </w:r>
      </w:p>
    </w:sdtContent>
  </w:sdt>
  <w:p w:rsidR="009279A6" w:rsidRDefault="009279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8E" w:rsidRDefault="009D258E" w:rsidP="005A78D7">
      <w:pPr>
        <w:spacing w:after="0" w:line="240" w:lineRule="auto"/>
      </w:pPr>
      <w:r>
        <w:separator/>
      </w:r>
    </w:p>
  </w:footnote>
  <w:footnote w:type="continuationSeparator" w:id="0">
    <w:p w:rsidR="009D258E" w:rsidRDefault="009D258E" w:rsidP="005A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72A24"/>
    <w:multiLevelType w:val="hybridMultilevel"/>
    <w:tmpl w:val="FBCEC8B6"/>
    <w:lvl w:ilvl="0" w:tplc="73CE0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D213E"/>
    <w:multiLevelType w:val="hybridMultilevel"/>
    <w:tmpl w:val="16BA4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3"/>
    <w:multiLevelType w:val="hybridMultilevel"/>
    <w:tmpl w:val="1E24B990"/>
    <w:lvl w:ilvl="0" w:tplc="A33A633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E1F1D"/>
    <w:multiLevelType w:val="hybridMultilevel"/>
    <w:tmpl w:val="5C98B47A"/>
    <w:lvl w:ilvl="0" w:tplc="912022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5"/>
    <w:rsid w:val="00005652"/>
    <w:rsid w:val="0001195E"/>
    <w:rsid w:val="00012DC7"/>
    <w:rsid w:val="00020C20"/>
    <w:rsid w:val="00024016"/>
    <w:rsid w:val="00042141"/>
    <w:rsid w:val="00044037"/>
    <w:rsid w:val="00045823"/>
    <w:rsid w:val="00045AA1"/>
    <w:rsid w:val="0005239C"/>
    <w:rsid w:val="0005438E"/>
    <w:rsid w:val="00054600"/>
    <w:rsid w:val="000569D0"/>
    <w:rsid w:val="00066117"/>
    <w:rsid w:val="000715F3"/>
    <w:rsid w:val="00076AD2"/>
    <w:rsid w:val="00094D22"/>
    <w:rsid w:val="000B0678"/>
    <w:rsid w:val="000B18AE"/>
    <w:rsid w:val="000B2C25"/>
    <w:rsid w:val="000B43EA"/>
    <w:rsid w:val="000B7A5F"/>
    <w:rsid w:val="000C27E8"/>
    <w:rsid w:val="000D5DF7"/>
    <w:rsid w:val="000E2BFC"/>
    <w:rsid w:val="000E653E"/>
    <w:rsid w:val="000F17C3"/>
    <w:rsid w:val="001021F6"/>
    <w:rsid w:val="001039C5"/>
    <w:rsid w:val="00111632"/>
    <w:rsid w:val="001218AB"/>
    <w:rsid w:val="001307AD"/>
    <w:rsid w:val="00141CF6"/>
    <w:rsid w:val="00152D16"/>
    <w:rsid w:val="00154F47"/>
    <w:rsid w:val="00164983"/>
    <w:rsid w:val="00172D80"/>
    <w:rsid w:val="00184C84"/>
    <w:rsid w:val="001A0D73"/>
    <w:rsid w:val="001A2A3D"/>
    <w:rsid w:val="001B15AA"/>
    <w:rsid w:val="001C28CA"/>
    <w:rsid w:val="00207020"/>
    <w:rsid w:val="00211F06"/>
    <w:rsid w:val="002211E7"/>
    <w:rsid w:val="00221600"/>
    <w:rsid w:val="00240F71"/>
    <w:rsid w:val="00247A45"/>
    <w:rsid w:val="00251DAE"/>
    <w:rsid w:val="002570C4"/>
    <w:rsid w:val="002643C6"/>
    <w:rsid w:val="00267392"/>
    <w:rsid w:val="002750EA"/>
    <w:rsid w:val="0027569B"/>
    <w:rsid w:val="00276401"/>
    <w:rsid w:val="002903EF"/>
    <w:rsid w:val="00291BF6"/>
    <w:rsid w:val="002A085D"/>
    <w:rsid w:val="002B2BEB"/>
    <w:rsid w:val="002C75DD"/>
    <w:rsid w:val="002C7961"/>
    <w:rsid w:val="002D5F47"/>
    <w:rsid w:val="002D61AE"/>
    <w:rsid w:val="002D7647"/>
    <w:rsid w:val="002E51C5"/>
    <w:rsid w:val="002E61AA"/>
    <w:rsid w:val="002F0444"/>
    <w:rsid w:val="002F050E"/>
    <w:rsid w:val="00300623"/>
    <w:rsid w:val="00305673"/>
    <w:rsid w:val="00307F96"/>
    <w:rsid w:val="00316721"/>
    <w:rsid w:val="00332880"/>
    <w:rsid w:val="00333613"/>
    <w:rsid w:val="00334B73"/>
    <w:rsid w:val="00334BA3"/>
    <w:rsid w:val="00346C71"/>
    <w:rsid w:val="00352D9B"/>
    <w:rsid w:val="00357453"/>
    <w:rsid w:val="003608DB"/>
    <w:rsid w:val="00362C04"/>
    <w:rsid w:val="003668E6"/>
    <w:rsid w:val="00377A5D"/>
    <w:rsid w:val="00380090"/>
    <w:rsid w:val="003830CA"/>
    <w:rsid w:val="003844DC"/>
    <w:rsid w:val="00394A0F"/>
    <w:rsid w:val="0039709B"/>
    <w:rsid w:val="003A02BA"/>
    <w:rsid w:val="003B155A"/>
    <w:rsid w:val="003B565F"/>
    <w:rsid w:val="003C038A"/>
    <w:rsid w:val="003C7C8B"/>
    <w:rsid w:val="003D4BB7"/>
    <w:rsid w:val="003E1689"/>
    <w:rsid w:val="00416361"/>
    <w:rsid w:val="00420986"/>
    <w:rsid w:val="004255AA"/>
    <w:rsid w:val="004447C5"/>
    <w:rsid w:val="004450B1"/>
    <w:rsid w:val="00457FFE"/>
    <w:rsid w:val="00481D4A"/>
    <w:rsid w:val="004A12BB"/>
    <w:rsid w:val="004C4D16"/>
    <w:rsid w:val="004D4602"/>
    <w:rsid w:val="004D6470"/>
    <w:rsid w:val="004D79F1"/>
    <w:rsid w:val="004F75D8"/>
    <w:rsid w:val="00510B2F"/>
    <w:rsid w:val="00512CF8"/>
    <w:rsid w:val="00523961"/>
    <w:rsid w:val="00531330"/>
    <w:rsid w:val="00547301"/>
    <w:rsid w:val="00555971"/>
    <w:rsid w:val="00561B4A"/>
    <w:rsid w:val="005628A5"/>
    <w:rsid w:val="00566472"/>
    <w:rsid w:val="00566685"/>
    <w:rsid w:val="00572470"/>
    <w:rsid w:val="005735CE"/>
    <w:rsid w:val="00574C2D"/>
    <w:rsid w:val="00577203"/>
    <w:rsid w:val="00581193"/>
    <w:rsid w:val="00582AAB"/>
    <w:rsid w:val="00584008"/>
    <w:rsid w:val="00587336"/>
    <w:rsid w:val="00591F3E"/>
    <w:rsid w:val="00593184"/>
    <w:rsid w:val="005948D9"/>
    <w:rsid w:val="005A19A2"/>
    <w:rsid w:val="005A3E37"/>
    <w:rsid w:val="005A78D7"/>
    <w:rsid w:val="005B5BE5"/>
    <w:rsid w:val="005C0223"/>
    <w:rsid w:val="005C0B90"/>
    <w:rsid w:val="005C7106"/>
    <w:rsid w:val="005D6BF1"/>
    <w:rsid w:val="005E1663"/>
    <w:rsid w:val="005E2A87"/>
    <w:rsid w:val="005E69C6"/>
    <w:rsid w:val="005F574B"/>
    <w:rsid w:val="00603DE8"/>
    <w:rsid w:val="006061CE"/>
    <w:rsid w:val="00607E3C"/>
    <w:rsid w:val="00621C57"/>
    <w:rsid w:val="006268B9"/>
    <w:rsid w:val="00660EFC"/>
    <w:rsid w:val="0067003E"/>
    <w:rsid w:val="006722BC"/>
    <w:rsid w:val="00685FBB"/>
    <w:rsid w:val="00686AD0"/>
    <w:rsid w:val="00693CAC"/>
    <w:rsid w:val="006A739B"/>
    <w:rsid w:val="006D2C13"/>
    <w:rsid w:val="006E2659"/>
    <w:rsid w:val="006E3261"/>
    <w:rsid w:val="006E6223"/>
    <w:rsid w:val="006F2AC3"/>
    <w:rsid w:val="00705796"/>
    <w:rsid w:val="00705F62"/>
    <w:rsid w:val="00712411"/>
    <w:rsid w:val="0071466B"/>
    <w:rsid w:val="007159DA"/>
    <w:rsid w:val="00717521"/>
    <w:rsid w:val="00717E43"/>
    <w:rsid w:val="007250CB"/>
    <w:rsid w:val="0072533D"/>
    <w:rsid w:val="0072615A"/>
    <w:rsid w:val="0072624D"/>
    <w:rsid w:val="007356E6"/>
    <w:rsid w:val="00744FE2"/>
    <w:rsid w:val="00753FCC"/>
    <w:rsid w:val="00757469"/>
    <w:rsid w:val="00760FE6"/>
    <w:rsid w:val="00766043"/>
    <w:rsid w:val="007706E8"/>
    <w:rsid w:val="007750DC"/>
    <w:rsid w:val="00777F63"/>
    <w:rsid w:val="007828D6"/>
    <w:rsid w:val="00784D72"/>
    <w:rsid w:val="007867E5"/>
    <w:rsid w:val="00793242"/>
    <w:rsid w:val="007A74AE"/>
    <w:rsid w:val="007B383D"/>
    <w:rsid w:val="007B511A"/>
    <w:rsid w:val="007B5878"/>
    <w:rsid w:val="007C0EF0"/>
    <w:rsid w:val="007C3038"/>
    <w:rsid w:val="007C5E40"/>
    <w:rsid w:val="007C6730"/>
    <w:rsid w:val="007D0132"/>
    <w:rsid w:val="007E01F3"/>
    <w:rsid w:val="007E5523"/>
    <w:rsid w:val="007F2CF0"/>
    <w:rsid w:val="0080385C"/>
    <w:rsid w:val="00806DF3"/>
    <w:rsid w:val="00830E2B"/>
    <w:rsid w:val="0083271F"/>
    <w:rsid w:val="00835D82"/>
    <w:rsid w:val="00837135"/>
    <w:rsid w:val="008432BC"/>
    <w:rsid w:val="00853747"/>
    <w:rsid w:val="0085745E"/>
    <w:rsid w:val="008611AC"/>
    <w:rsid w:val="00861951"/>
    <w:rsid w:val="00864B5D"/>
    <w:rsid w:val="00870696"/>
    <w:rsid w:val="00872A76"/>
    <w:rsid w:val="00872FDF"/>
    <w:rsid w:val="008776AF"/>
    <w:rsid w:val="00883851"/>
    <w:rsid w:val="00890C3B"/>
    <w:rsid w:val="00893A3A"/>
    <w:rsid w:val="00893B34"/>
    <w:rsid w:val="00893F2B"/>
    <w:rsid w:val="008D09B3"/>
    <w:rsid w:val="008D2845"/>
    <w:rsid w:val="008E274B"/>
    <w:rsid w:val="008E3D98"/>
    <w:rsid w:val="008F2CDE"/>
    <w:rsid w:val="008F2F78"/>
    <w:rsid w:val="00910C41"/>
    <w:rsid w:val="00921AE8"/>
    <w:rsid w:val="009229A1"/>
    <w:rsid w:val="00923657"/>
    <w:rsid w:val="009279A6"/>
    <w:rsid w:val="00932022"/>
    <w:rsid w:val="0094026A"/>
    <w:rsid w:val="00944ECD"/>
    <w:rsid w:val="00954D04"/>
    <w:rsid w:val="00966799"/>
    <w:rsid w:val="00973786"/>
    <w:rsid w:val="009828E1"/>
    <w:rsid w:val="00983036"/>
    <w:rsid w:val="0099480E"/>
    <w:rsid w:val="009A090B"/>
    <w:rsid w:val="009A0C36"/>
    <w:rsid w:val="009A4805"/>
    <w:rsid w:val="009A53A7"/>
    <w:rsid w:val="009D258E"/>
    <w:rsid w:val="009D2668"/>
    <w:rsid w:val="00A27D0E"/>
    <w:rsid w:val="00A31880"/>
    <w:rsid w:val="00A4076F"/>
    <w:rsid w:val="00A55466"/>
    <w:rsid w:val="00A567B5"/>
    <w:rsid w:val="00A57D93"/>
    <w:rsid w:val="00A64B28"/>
    <w:rsid w:val="00A65AB1"/>
    <w:rsid w:val="00A66DC3"/>
    <w:rsid w:val="00A817D5"/>
    <w:rsid w:val="00A8385B"/>
    <w:rsid w:val="00A85C85"/>
    <w:rsid w:val="00AA2095"/>
    <w:rsid w:val="00AA335E"/>
    <w:rsid w:val="00AA5CE5"/>
    <w:rsid w:val="00AA7002"/>
    <w:rsid w:val="00AC3BD9"/>
    <w:rsid w:val="00AC72DF"/>
    <w:rsid w:val="00AC7640"/>
    <w:rsid w:val="00AD46C5"/>
    <w:rsid w:val="00AE1801"/>
    <w:rsid w:val="00AE4F74"/>
    <w:rsid w:val="00AE59A5"/>
    <w:rsid w:val="00AF1CF7"/>
    <w:rsid w:val="00AF42F8"/>
    <w:rsid w:val="00AF4D23"/>
    <w:rsid w:val="00B06732"/>
    <w:rsid w:val="00B07BC6"/>
    <w:rsid w:val="00B13514"/>
    <w:rsid w:val="00B211AD"/>
    <w:rsid w:val="00B21644"/>
    <w:rsid w:val="00B36411"/>
    <w:rsid w:val="00B46354"/>
    <w:rsid w:val="00B55CE3"/>
    <w:rsid w:val="00B61147"/>
    <w:rsid w:val="00B72C64"/>
    <w:rsid w:val="00B82041"/>
    <w:rsid w:val="00B85A5D"/>
    <w:rsid w:val="00BA3FB7"/>
    <w:rsid w:val="00BA4527"/>
    <w:rsid w:val="00BA6B14"/>
    <w:rsid w:val="00BB2FCF"/>
    <w:rsid w:val="00BD5701"/>
    <w:rsid w:val="00BE617A"/>
    <w:rsid w:val="00C009E3"/>
    <w:rsid w:val="00C10E53"/>
    <w:rsid w:val="00C15DBE"/>
    <w:rsid w:val="00C20D1F"/>
    <w:rsid w:val="00C25C2F"/>
    <w:rsid w:val="00C25C62"/>
    <w:rsid w:val="00C27E8B"/>
    <w:rsid w:val="00C367CA"/>
    <w:rsid w:val="00C409C1"/>
    <w:rsid w:val="00C5019F"/>
    <w:rsid w:val="00C50B4E"/>
    <w:rsid w:val="00C53B5B"/>
    <w:rsid w:val="00C705E9"/>
    <w:rsid w:val="00C77948"/>
    <w:rsid w:val="00C83349"/>
    <w:rsid w:val="00C84814"/>
    <w:rsid w:val="00C8746F"/>
    <w:rsid w:val="00CC3F51"/>
    <w:rsid w:val="00CC6E60"/>
    <w:rsid w:val="00CD2FC5"/>
    <w:rsid w:val="00CE184D"/>
    <w:rsid w:val="00CE4EE1"/>
    <w:rsid w:val="00CF475F"/>
    <w:rsid w:val="00D012CE"/>
    <w:rsid w:val="00D01DF5"/>
    <w:rsid w:val="00D04FD6"/>
    <w:rsid w:val="00D07DAB"/>
    <w:rsid w:val="00D17C04"/>
    <w:rsid w:val="00D2112F"/>
    <w:rsid w:val="00D43CDD"/>
    <w:rsid w:val="00D51F1F"/>
    <w:rsid w:val="00D560EE"/>
    <w:rsid w:val="00D61A28"/>
    <w:rsid w:val="00D6613F"/>
    <w:rsid w:val="00D7163E"/>
    <w:rsid w:val="00D8043C"/>
    <w:rsid w:val="00DA5B13"/>
    <w:rsid w:val="00DA5B24"/>
    <w:rsid w:val="00DA7432"/>
    <w:rsid w:val="00DB1289"/>
    <w:rsid w:val="00DC353C"/>
    <w:rsid w:val="00DD5BB3"/>
    <w:rsid w:val="00DF4BFB"/>
    <w:rsid w:val="00E04788"/>
    <w:rsid w:val="00E22220"/>
    <w:rsid w:val="00E31386"/>
    <w:rsid w:val="00E33D90"/>
    <w:rsid w:val="00E43F0E"/>
    <w:rsid w:val="00E541B9"/>
    <w:rsid w:val="00E610DC"/>
    <w:rsid w:val="00E73477"/>
    <w:rsid w:val="00E73ACE"/>
    <w:rsid w:val="00E958A6"/>
    <w:rsid w:val="00E97FD3"/>
    <w:rsid w:val="00EB7C0B"/>
    <w:rsid w:val="00EB7F81"/>
    <w:rsid w:val="00EC791B"/>
    <w:rsid w:val="00ED05B9"/>
    <w:rsid w:val="00ED381C"/>
    <w:rsid w:val="00ED48A8"/>
    <w:rsid w:val="00ED6AF1"/>
    <w:rsid w:val="00EE7E19"/>
    <w:rsid w:val="00F12FF7"/>
    <w:rsid w:val="00F14EAF"/>
    <w:rsid w:val="00F2100E"/>
    <w:rsid w:val="00F43932"/>
    <w:rsid w:val="00F53FD5"/>
    <w:rsid w:val="00F55EFD"/>
    <w:rsid w:val="00F61ABC"/>
    <w:rsid w:val="00F80ABF"/>
    <w:rsid w:val="00F97A80"/>
    <w:rsid w:val="00FA1B1C"/>
    <w:rsid w:val="00FA2648"/>
    <w:rsid w:val="00FB0E8F"/>
    <w:rsid w:val="00FC08EF"/>
    <w:rsid w:val="00FD0A33"/>
    <w:rsid w:val="00FD2E44"/>
    <w:rsid w:val="00FE0F3F"/>
    <w:rsid w:val="00FE5AC3"/>
    <w:rsid w:val="00FF1E37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07ACB"/>
  <w15:chartTrackingRefBased/>
  <w15:docId w15:val="{B6C0F7FD-1838-4431-98D8-E969C958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67B5"/>
    <w:pPr>
      <w:ind w:left="720"/>
      <w:contextualSpacing/>
    </w:pPr>
  </w:style>
  <w:style w:type="table" w:styleId="Reetkatablice">
    <w:name w:val="Table Grid"/>
    <w:basedOn w:val="Obinatablica"/>
    <w:uiPriority w:val="39"/>
    <w:rsid w:val="0087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7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78D7"/>
  </w:style>
  <w:style w:type="paragraph" w:styleId="Podnoje">
    <w:name w:val="footer"/>
    <w:basedOn w:val="Normal"/>
    <w:link w:val="PodnojeChar"/>
    <w:uiPriority w:val="99"/>
    <w:unhideWhenUsed/>
    <w:rsid w:val="005A7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78D7"/>
  </w:style>
  <w:style w:type="paragraph" w:styleId="Bezproreda">
    <w:name w:val="No Spacing"/>
    <w:link w:val="BezproredaChar"/>
    <w:uiPriority w:val="1"/>
    <w:qFormat/>
    <w:rsid w:val="00510B2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10B2F"/>
  </w:style>
  <w:style w:type="paragraph" w:styleId="Tekstbalonia">
    <w:name w:val="Balloon Text"/>
    <w:basedOn w:val="Normal"/>
    <w:link w:val="TekstbaloniaChar"/>
    <w:uiPriority w:val="99"/>
    <w:semiHidden/>
    <w:unhideWhenUsed/>
    <w:rsid w:val="00E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AZJMDCZ6QSYZ-1849078857-20389</_dlc_DocId>
    <_dlc_DocIdUrl xmlns="a494813a-d0d8-4dad-94cb-0d196f36ba15">
      <Url>https://ekoordinacije.vlada.hr/koordinacija-gospodarstvo/_layouts/15/DocIdRedir.aspx?ID=AZJMDCZ6QSYZ-1849078857-20389</Url>
      <Description>AZJMDCZ6QSYZ-1849078857-20389</Description>
    </_dlc_DocIdUrl>
  </documentManagement>
</p:properties>
</file>

<file path=customXml/itemProps1.xml><?xml version="1.0" encoding="utf-8"?>
<ds:datastoreItem xmlns:ds="http://schemas.openxmlformats.org/officeDocument/2006/customXml" ds:itemID="{D0C58AEB-A091-4A5F-AD38-03581689B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8E91-B510-49C9-B65B-425ED719E081}"/>
</file>

<file path=customXml/itemProps3.xml><?xml version="1.0" encoding="utf-8"?>
<ds:datastoreItem xmlns:ds="http://schemas.openxmlformats.org/officeDocument/2006/customXml" ds:itemID="{5324175B-7019-4EDF-B625-8A19DA331315}"/>
</file>

<file path=customXml/itemProps4.xml><?xml version="1.0" encoding="utf-8"?>
<ds:datastoreItem xmlns:ds="http://schemas.openxmlformats.org/officeDocument/2006/customXml" ds:itemID="{C24FBA98-0302-4F69-A0E7-7FD3A4016E3C}"/>
</file>

<file path=customXml/itemProps5.xml><?xml version="1.0" encoding="utf-8"?>
<ds:datastoreItem xmlns:ds="http://schemas.openxmlformats.org/officeDocument/2006/customXml" ds:itemID="{4C41D1B9-A20D-464A-89B9-A65EAF2B0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Pilot-projekt povoljnijega javnog željezničkog prijevoza studenata</vt:lpstr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Pilot-projekt povoljnijega javnog željezničkog prijevoza studenata</dc:title>
  <dc:subject/>
  <dc:creator>Sonja Cvetković</dc:creator>
  <cp:keywords/>
  <dc:description/>
  <cp:lastModifiedBy>Jasna Divić</cp:lastModifiedBy>
  <cp:revision>16</cp:revision>
  <cp:lastPrinted>2022-08-18T13:33:00Z</cp:lastPrinted>
  <dcterms:created xsi:type="dcterms:W3CDTF">2022-09-16T07:56:00Z</dcterms:created>
  <dcterms:modified xsi:type="dcterms:W3CDTF">2022-09-16T09:30:00Z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017962e8-798a-47be-bbb0-e26d42697cd8</vt:lpwstr>
  </property>
</Properties>
</file>